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9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40"/>
          <w:szCs w:val="40"/>
          <w:b w:val="1"/>
          <w:bCs w:val="1"/>
          <w:color w:val="auto"/>
        </w:rPr>
        <w:t>Upstart Holdings,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217170</wp:posOffset>
            </wp:positionV>
            <wp:extent cx="3154680"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5468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to be held at 9:00 a.m. Pacific Time on Thursday, May 28,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STOCKHOLDERS OF UPSTART HOLDINGS, INC.:</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pleased to invite you to virtually attend the 2026 annual meeting of stockholders (the “2026 Annual Meeting”) of Upstart Holdings, Inc., a Delaware corporation, which will be held virtually on Thursday, May 28, 2026, at 9:00 a.m. Pacific Time. The 2026 Annual Meeting will be held via a live interactive audio webcast on the Internet. If you held shares of our common stock at the close of business on March 31, 2026, you will be able to vote online and submit questions during the meeting at www.virtualshareholdermeeting.com/UPST2026. We are holding the 2026 Annual Meeting for the following purposes, as more fully described in the accompanying proxy statement:</w:t>
      </w:r>
    </w:p>
    <w:p>
      <w:pPr>
        <w:spacing w:after="0" w:line="89" w:lineRule="exact"/>
        <w:rPr>
          <w:sz w:val="20"/>
          <w:szCs w:val="20"/>
          <w:color w:val="auto"/>
        </w:rPr>
      </w:pPr>
    </w:p>
    <w:p>
      <w:pPr>
        <w:ind w:left="1080" w:right="24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Class III directors the three nominees named in the accompanying proxy statement to serve until the 2029 annual meeting of stockholders and until their successors are duly elected and qualified;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current fiscal year ending December 31, 2026;</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or postponements thereof.</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Board has fixed the close of business on March 31, 2026 as the record date for the meeting. Only stockholders of record on March 31, 2026 are entitled to notice of, and to vote at, the 2026 Annual Meeting. Our proxy statement contains further information regarding voting rights and the matters to be voted upon.</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or about April 16, 2026, we expect to mail to our stockholders a Notice of Internet Availability of Proxy Materials (the “Notice”), containing instructions on how to access our proxy statement for our annual meeting and our annual report to stockholders over the Internet. The Notice provides instructions on how to vote and includes instructions on how to receive a copy of our proxy materials and annual report by mail or e-mail. The Notice, our proxy statement and our annual report to stockholders can be accessed at the following Internet address: www.proxyvote.com, using the control number located on the Notice or, if you requested to receive a printed copy of the proxy materials, your accompanying proxy card.</w:t>
      </w:r>
    </w:p>
    <w:p>
      <w:pPr>
        <w:spacing w:after="0" w:line="179"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2026 Annual Meeting, we urge you to submit your vote as soon as possible to ensure your shares are represented. We encourage you to submit your proxy or voting instructions via the Internet, which is convenient, helps reduce the environmental impact of our annual meeting and saves us significant postage and processing costs. For instructions on voting, please refer to your proxy card, the Notice or pages 2-3 of the accompanying proxy statement.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appreciate your continued support of, and continued interest in, Upstart.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Scott Darling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Mateo, California</w:t>
      </w:r>
    </w:p>
    <w:p>
      <w:pPr>
        <w:sectPr>
          <w:pgSz w:w="11900" w:h="16838" w:orient="portrait"/>
          <w:cols w:equalWidth="0" w:num="1">
            <w:col w:w="11060"/>
          </w:cols>
          <w:pgMar w:left="320" w:top="482"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2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21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8"/>
              </w:rPr>
              <w:t>GENERAL INFORMATION</w:t>
            </w:r>
          </w:p>
        </w:tc>
        <w:tc>
          <w:tcPr>
            <w:tcW w:w="8520" w:type="dxa"/>
            <w:vAlign w:val="bottom"/>
            <w:gridSpan w:val="36"/>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140" w:type="dxa"/>
            <w:vAlign w:val="bottom"/>
            <w:tcBorders>
              <w:bottom w:val="single" w:sz="8" w:color="0000EE"/>
            </w:tcBorders>
            <w:gridSpan w:val="12"/>
            <w:vMerge w:val="continue"/>
          </w:tcPr>
          <w:p>
            <w:pPr>
              <w:spacing w:after="0"/>
              <w:rPr>
                <w:sz w:val="13"/>
                <w:szCs w:val="13"/>
                <w:color w:val="auto"/>
              </w:rPr>
            </w:pPr>
          </w:p>
        </w:tc>
        <w:tc>
          <w:tcPr>
            <w:tcW w:w="8520" w:type="dxa"/>
            <w:vAlign w:val="bottom"/>
            <w:gridSpan w:val="3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0000EE"/>
            </w:tcBorders>
            <w:gridSpan w:val="41"/>
          </w:tcPr>
          <w:p>
            <w:pPr>
              <w:spacing w:after="0"/>
              <w:rPr>
                <w:sz w:val="20"/>
                <w:szCs w:val="20"/>
                <w:color w:val="auto"/>
              </w:rPr>
            </w:pPr>
            <w:r>
              <w:rPr>
                <w:rFonts w:ascii="Times New Roman" w:cs="Times New Roman" w:eastAsia="Times New Roman" w:hAnsi="Times New Roman"/>
                <w:sz w:val="18"/>
                <w:szCs w:val="18"/>
                <w:color w:val="0000EE"/>
                <w:w w:val="99"/>
              </w:rPr>
              <w:t>BOARD OF DIRECTORS AND CORPORATE GOVERNANCE</w:t>
            </w:r>
          </w:p>
        </w:tc>
        <w:tc>
          <w:tcPr>
            <w:tcW w:w="5900" w:type="dxa"/>
            <w:vAlign w:val="bottom"/>
            <w:gridSpan w:val="7"/>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Nominees</w:t>
            </w:r>
          </w:p>
        </w:tc>
        <w:tc>
          <w:tcPr>
            <w:tcW w:w="8920" w:type="dxa"/>
            <w:vAlign w:val="bottom"/>
            <w:gridSpan w:val="4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Continuing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8660" w:type="dxa"/>
            <w:vAlign w:val="bottom"/>
            <w:gridSpan w:val="3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Meetings</w:t>
            </w:r>
          </w:p>
        </w:tc>
        <w:tc>
          <w:tcPr>
            <w:tcW w:w="820" w:type="dxa"/>
            <w:vAlign w:val="bottom"/>
            <w:tcBorders>
              <w:top w:val="single" w:sz="8" w:color="0000EE"/>
            </w:tcBorders>
            <w:gridSpan w:val="10"/>
          </w:tcPr>
          <w:p>
            <w:pPr>
              <w:spacing w:after="0"/>
              <w:rPr>
                <w:sz w:val="17"/>
                <w:szCs w:val="17"/>
                <w:color w:val="auto"/>
              </w:rPr>
            </w:pPr>
          </w:p>
        </w:tc>
        <w:tc>
          <w:tcPr>
            <w:tcW w:w="8320" w:type="dxa"/>
            <w:vAlign w:val="bottom"/>
            <w:gridSpan w:val="3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Committees</w:t>
            </w:r>
          </w:p>
        </w:tc>
        <w:tc>
          <w:tcPr>
            <w:tcW w:w="8940" w:type="dxa"/>
            <w:vAlign w:val="bottom"/>
            <w:gridSpan w:val="4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460" w:type="dxa"/>
            <w:vAlign w:val="bottom"/>
            <w:tcBorders>
              <w:bottom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Committee Interlocks and Insider Participation</w:t>
            </w:r>
          </w:p>
        </w:tc>
        <w:tc>
          <w:tcPr>
            <w:tcW w:w="58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Role of our Board in Risk Oversight</w:t>
            </w:r>
          </w:p>
        </w:tc>
        <w:tc>
          <w:tcPr>
            <w:tcW w:w="768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4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and Board Committee Self-Evaluation Process</w:t>
            </w:r>
          </w:p>
        </w:tc>
        <w:tc>
          <w:tcPr>
            <w:tcW w:w="646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Considerations in Evaluating Director Nominees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440" w:type="dxa"/>
            <w:vAlign w:val="bottom"/>
            <w:tcBorders>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Recommendations for Nominations to our Board</w:t>
            </w:r>
          </w:p>
        </w:tc>
        <w:tc>
          <w:tcPr>
            <w:tcW w:w="58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Engagement</w:t>
            </w:r>
          </w:p>
        </w:tc>
        <w:tc>
          <w:tcPr>
            <w:tcW w:w="8480" w:type="dxa"/>
            <w:vAlign w:val="bottom"/>
            <w:gridSpan w:val="3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Communications with our Board</w:t>
            </w:r>
          </w:p>
        </w:tc>
        <w:tc>
          <w:tcPr>
            <w:tcW w:w="794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Social Responsibility</w:t>
            </w:r>
          </w:p>
        </w:tc>
        <w:tc>
          <w:tcPr>
            <w:tcW w:w="800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8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Governance Guidelines and Code of Ethics</w:t>
            </w:r>
          </w:p>
        </w:tc>
        <w:tc>
          <w:tcPr>
            <w:tcW w:w="642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Stock Ownership Guidelines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Non-Employee Director Compensation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8"/>
          </w:tcPr>
          <w:p>
            <w:pPr>
              <w:spacing w:after="0" w:line="196" w:lineRule="exact"/>
              <w:rPr>
                <w:sz w:val="20"/>
                <w:szCs w:val="20"/>
                <w:color w:val="auto"/>
              </w:rPr>
            </w:pPr>
            <w:r>
              <w:rPr>
                <w:rFonts w:ascii="Times New Roman" w:cs="Times New Roman" w:eastAsia="Times New Roman" w:hAnsi="Times New Roman"/>
                <w:sz w:val="18"/>
                <w:szCs w:val="18"/>
                <w:color w:val="0000EE"/>
              </w:rPr>
              <w:t>PROPOSAL NO. 1 ELECTION OF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80" w:type="dxa"/>
            <w:vAlign w:val="bottom"/>
            <w:tcBorders>
              <w:bottom w:val="single" w:sz="8" w:color="0000EE"/>
            </w:tcBorders>
            <w:gridSpan w:val="47"/>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2 RATIFICATION OF APPOINTMENT OF INDEPENDENT REGISTERED PUBLIC ACCOUNTING FIRM</w:t>
            </w:r>
          </w:p>
        </w:tc>
        <w:tc>
          <w:tcPr>
            <w:tcW w:w="12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660" w:type="dxa"/>
            <w:vAlign w:val="bottom"/>
            <w:gridSpan w:val="48"/>
          </w:tcPr>
          <w:p>
            <w:pPr>
              <w:spacing w:after="0" w:line="19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8"/>
          </w:tcPr>
          <w:p>
            <w:pPr>
              <w:spacing w:after="0" w:line="196" w:lineRule="exact"/>
              <w:rPr>
                <w:sz w:val="20"/>
                <w:szCs w:val="20"/>
                <w:color w:val="auto"/>
              </w:rPr>
            </w:pPr>
            <w:r>
              <w:rPr>
                <w:rFonts w:ascii="Times New Roman" w:cs="Times New Roman" w:eastAsia="Times New Roman" w:hAnsi="Times New Roman"/>
                <w:sz w:val="18"/>
                <w:szCs w:val="18"/>
                <w:color w:val="0000EE"/>
              </w:rPr>
              <w:t>PROPOSAL NO. 3 ADVISORY VOTE ON THE COMPENSATION OF OUR NAMED EXECUTIVE OFFICERS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9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OFFICERS</w:t>
            </w:r>
          </w:p>
        </w:tc>
        <w:tc>
          <w:tcPr>
            <w:tcW w:w="6400" w:type="dxa"/>
            <w:vAlign w:val="bottom"/>
            <w:tcBorders>
              <w:top w:val="single" w:sz="8" w:color="0000EE"/>
            </w:tcBorders>
            <w:gridSpan w:val="37"/>
          </w:tcPr>
          <w:p>
            <w:pPr>
              <w:spacing w:after="0"/>
              <w:rPr>
                <w:sz w:val="17"/>
                <w:szCs w:val="17"/>
                <w:color w:val="auto"/>
              </w:rPr>
            </w:pPr>
          </w:p>
        </w:tc>
        <w:tc>
          <w:tcPr>
            <w:tcW w:w="23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22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Who We Are</w:t>
            </w:r>
          </w:p>
        </w:tc>
        <w:tc>
          <w:tcPr>
            <w:tcW w:w="746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4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2025 Business Highlights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4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2025 Executive Compensation Highlights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Philosophy and Guiding Principles</w:t>
            </w:r>
          </w:p>
        </w:tc>
        <w:tc>
          <w:tcPr>
            <w:tcW w:w="634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2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Compensation Policies and Practices</w:t>
            </w:r>
          </w:p>
        </w:tc>
        <w:tc>
          <w:tcPr>
            <w:tcW w:w="652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Compensation-Setting Process</w:t>
            </w:r>
          </w:p>
        </w:tc>
        <w:tc>
          <w:tcPr>
            <w:tcW w:w="7740" w:type="dxa"/>
            <w:vAlign w:val="bottom"/>
            <w:gridSpan w:val="2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Elements</w:t>
            </w:r>
          </w:p>
        </w:tc>
        <w:tc>
          <w:tcPr>
            <w:tcW w:w="818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Post-Employment Compensation</w:t>
            </w:r>
          </w:p>
        </w:tc>
        <w:tc>
          <w:tcPr>
            <w:tcW w:w="756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4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Other Compensation Policies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4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Tax and Accounting Considerations</w:t>
            </w:r>
          </w:p>
        </w:tc>
        <w:tc>
          <w:tcPr>
            <w:tcW w:w="736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the Compensation Committee</w:t>
            </w:r>
          </w:p>
        </w:tc>
        <w:tc>
          <w:tcPr>
            <w:tcW w:w="742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2025 Summary Compensation Table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2025 Grants of Plan-Based Awards</w:t>
            </w:r>
          </w:p>
        </w:tc>
        <w:tc>
          <w:tcPr>
            <w:tcW w:w="768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4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36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Outstanding Equity Awards at 2025 Year-End</w:t>
            </w:r>
          </w:p>
        </w:tc>
        <w:tc>
          <w:tcPr>
            <w:tcW w:w="69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Option Exercises and Stock Vested in 2025</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40" w:type="dxa"/>
            <w:vAlign w:val="bottom"/>
            <w:gridSpan w:val="10"/>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8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Potential Payments upon Termination or Change in Control</w:t>
            </w:r>
          </w:p>
        </w:tc>
        <w:tc>
          <w:tcPr>
            <w:tcW w:w="60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Pay Ratio Analysis</w:t>
            </w:r>
          </w:p>
        </w:tc>
        <w:tc>
          <w:tcPr>
            <w:tcW w:w="8920" w:type="dxa"/>
            <w:vAlign w:val="bottom"/>
            <w:gridSpan w:val="4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8540" w:type="dxa"/>
            <w:vAlign w:val="bottom"/>
            <w:gridSpan w:val="3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676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0660" w:type="dxa"/>
            <w:vAlign w:val="bottom"/>
            <w:gridSpan w:val="48"/>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6720" w:type="dxa"/>
            <w:vAlign w:val="bottom"/>
            <w:tcBorders>
              <w:top w:val="single" w:sz="8" w:color="0000EE"/>
            </w:tcBorders>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9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EE"/>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52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300" w:type="dxa"/>
            <w:vAlign w:val="bottom"/>
            <w:gridSpan w:val="18"/>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600" w:type="dxa"/>
            <w:vAlign w:val="bottom"/>
            <w:gridSpan w:val="2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0" w:type="dxa"/>
            <w:vAlign w:val="bottom"/>
            <w:gridSpan w:val="20"/>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600" w:type="dxa"/>
            <w:vAlign w:val="bottom"/>
            <w:gridSpan w:val="2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7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2025 Annual Report and SEC Filings</w:t>
            </w:r>
          </w:p>
        </w:tc>
        <w:tc>
          <w:tcPr>
            <w:tcW w:w="760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217170</wp:posOffset>
            </wp:positionV>
            <wp:extent cx="3154680"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5468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at 9:00 a.m. Pacific Time on Thursday, May 28, 2026</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proxy statement is being furnished by Upstart Holdings, Inc. in connection with the solicitation of proxies by our board of directors (the “Board”) for use at the 2026 Annual Meeting of Stockholders of Upstart Holdings, Inc. to be held on Thursday, May 28, 2026, at 9:00 a.m. Pacific Time, solely via live webcast on the Internet at www.virtualshareholdermeeting.com/UPST2026, and for any postponements, adjournments or continuations thereof (the “2026 Annual Meeting”). In this proxy statement, the terms “Upstart,” “the company,” “we,” “us” and “our” refer to Upstart Holdings, Inc. and our subsidiaries.</w:t>
      </w:r>
    </w:p>
    <w:p>
      <w:pPr>
        <w:spacing w:after="0" w:line="183"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or about April 16, 2026, we expect to mail a Notice of Internet Availability of Proxy Materials (the “Notice”), containing instructions on how to access this proxy statement for the 2026 Annual Meeting and our Annual Report on Form 10-K for the fiscal year ended December 31, 2025, to our stockholders entitled to vote at the 2026 Annual Meeting.</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matters am I voting 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are being asked to vote on the following proposals:</w:t>
      </w:r>
    </w:p>
    <w:p>
      <w:pPr>
        <w:spacing w:after="0" w:line="131" w:lineRule="exact"/>
        <w:rPr>
          <w:sz w:val="20"/>
          <w:szCs w:val="20"/>
          <w:color w:val="auto"/>
        </w:rPr>
      </w:pPr>
    </w:p>
    <w:p>
      <w:pPr>
        <w:ind w:left="1080" w:right="4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Kerry Cooper, Mary Hentges and Ciaran O’Kelly as Class III directors, each to serve until our 2029 annual meeting of stockholders and until their successors are duly elected and qualified;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&amp; Touche LLP as our independent registered public accounting firm for the current fiscal year ending December 31, 2026;</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as may properly come before the 2026 Annual Meeting.</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our management and Board were not aware of any other matters to be presented at the 2026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I vote on these proposals?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recommends that you vote your shares:</w:t>
      </w:r>
    </w:p>
    <w:p>
      <w:pPr>
        <w:spacing w:after="0" w:line="127" w:lineRule="exact"/>
        <w:rPr>
          <w:sz w:val="20"/>
          <w:szCs w:val="20"/>
          <w:color w:val="auto"/>
        </w:rPr>
      </w:pPr>
    </w:p>
    <w:p>
      <w:pPr>
        <w:ind w:left="5580" w:right="3240" w:hanging="4924"/>
        <w:spacing w:after="0" w:line="458" w:lineRule="auto"/>
        <w:tabs>
          <w:tab w:leader="none" w:pos="10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Kerry Cooper, Mary Hentges and Ciaran O’Kelly as Class III directors; 1</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80" w:right="12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Deloitte &amp; Touche LLP as our independent registered public accounting firm for the current fiscal year ending December 31, 2026; and</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an advisory basis, of the compensation of our named executive officers.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is soliciting your vote in connection with the 2026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holders of our common stock as of the close of business on March 31, 2026, which is the record date for the 2026 Annual Meeting (the “Record Date”), are entitled to vote at the 2026 Annual Meeting. As of the Record Date, there were 95,707,260 shares of our common stock outstanding and entitled to vote. In deciding all matters at the 2026 Annual Meeting, each stockholder will be entitled to one vote for each share of common stock held on the Record Date. We do not have cumulative voting rights for the election of directors.</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For ten days prior to the 2026 Annual Meeting, a list of stockholders eligible to vote at the 2026 Annual Meeting will be available for review by any stockholder for any purpose relating to the 2026 Annual Meeting during regular business hours at our principal executive offices. Stockholders interested in viewing the list can contact our corporate secretary to schedule an appointment by writing to Upstart Holdings, Inc., Attention: Corporate Secretary, 2950 S. Delaware Street, Suite 410, San Mateo, California 94403.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Many of our stockholders hold their shares as beneficial owners through a brokerage firm or other nominee rather than directly in their own name. As summarized below, there are some distinctions between shares held of record and those owned beneficially through a broker or other nominee “in street name.”</w:t>
      </w:r>
    </w:p>
    <w:p>
      <w:pPr>
        <w:spacing w:after="0" w:line="17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Registered stockholders or stockholders of record</w:t>
      </w:r>
      <w:r>
        <w:rPr>
          <w:rFonts w:ascii="Times New Roman" w:cs="Times New Roman" w:eastAsia="Times New Roman" w:hAnsi="Times New Roman"/>
          <w:sz w:val="18"/>
          <w:szCs w:val="18"/>
          <w:color w:val="auto"/>
        </w:rPr>
        <w:t>. If your shares are registered directly in your name with our transfer agent, Equiniti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LLC, you are considered the stockholder of record with respect to those shares, and the proxy statement was provided to you directly by us. As the stockholder of record, you have the right to grant your voting proxy directly to our designated proxy holders listed in this proxy statement or to attend online and vote at the 2026 Annual Meeting.</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Beneficial owners or street-name stockholders</w:t>
      </w:r>
      <w:r>
        <w:rPr>
          <w:rFonts w:ascii="Times New Roman" w:cs="Times New Roman" w:eastAsia="Times New Roman" w:hAnsi="Times New Roman"/>
          <w:sz w:val="18"/>
          <w:szCs w:val="18"/>
          <w:color w:val="auto"/>
        </w:rPr>
        <w:t>. If your shares are held in a stock brokerage account or by a bank or other nominee, you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beneficial owner of shares held “in street name,” and the Notice was forwarded to you by your broker or other nominee, who is considered the stockholder of record with respect to those shares. As the beneficial owner, you may direct your broker or other nominee on how to vote your shares. Beneficial owners are also invited to attend the 2026 Annual Meeting. However, since a beneficial owner is not the stockholder of record, you may not vote your shares live during the 2026 Annual Meeting unless you follow your broker or other nominee’s procedures for obtaining a legal proxy. If you requested printed proxy materials, your broker or other nominee has enclosed a voting instruction form for you to use in directing the broker or other nominee regarding how to vote your shares. Throughout this proxy statement, we refer to stockholders who hold their shares through a broker or other nominee as “street-name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contact Upstart’s transfer agent?</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Stockholders may contact our transfer agent, Equiniti Trust Company, LLC, by calling 1-800-937-5449, by emailing helpAST@equiniti.com, or by writing to Equiniti Trust Company, LLC, P.O. Box 500, Newark, NJ 07101. Also see our transfer agent’s website at www.equiniti.com to get more information about these matters.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82"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and what are the voting deadlines?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29" w:lineRule="exact"/>
        <w:rPr>
          <w:sz w:val="20"/>
          <w:szCs w:val="20"/>
          <w:color w:val="auto"/>
        </w:rPr>
      </w:pPr>
    </w:p>
    <w:p>
      <w:pPr>
        <w:ind w:left="1080" w:right="60" w:hanging="532"/>
        <w:spacing w:after="0" w:line="267"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Online Prior to the 2026 Annual Meeting</w:t>
      </w:r>
      <w:r>
        <w:rPr>
          <w:rFonts w:ascii="Times New Roman" w:cs="Times New Roman" w:eastAsia="Times New Roman" w:hAnsi="Times New Roman"/>
          <w:sz w:val="18"/>
          <w:szCs w:val="18"/>
          <w:color w:val="auto"/>
        </w:rPr>
        <w:t>. You may vote by Internet at www.proxyvote.com, 24 hours a day, seven days a week, until 8:59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p.m. Pacific Time on May 27, 2026 (have the Notice or proxy card in hand when you visit the website for the 16-digit control number needed to vote);</w:t>
      </w:r>
    </w:p>
    <w:p>
      <w:pPr>
        <w:spacing w:after="0" w:line="78"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Phone</w:t>
      </w:r>
      <w:r>
        <w:rPr>
          <w:rFonts w:ascii="Times New Roman" w:cs="Times New Roman" w:eastAsia="Times New Roman" w:hAnsi="Times New Roman"/>
          <w:sz w:val="18"/>
          <w:szCs w:val="18"/>
          <w:color w:val="auto"/>
        </w:rPr>
        <w:t>. If you request printed copies of the proxy materials by mail, you will receive a proxy card or a voting instruction form and you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by calling 1-800-690-6903, 24 hours a day, seven days a week, until 8:59 p.m. Pacific Time on May 27, 2026 (have the Notice or proxy card in hand when you call for the 16-digit control number needed to vote);</w:t>
      </w:r>
    </w:p>
    <w:p>
      <w:pPr>
        <w:spacing w:after="0" w:line="78" w:lineRule="exact"/>
        <w:rPr>
          <w:rFonts w:ascii="Times New Roman" w:cs="Times New Roman" w:eastAsia="Times New Roman" w:hAnsi="Times New Roman"/>
          <w:sz w:val="18"/>
          <w:szCs w:val="18"/>
          <w:color w:val="auto"/>
        </w:rPr>
      </w:pPr>
    </w:p>
    <w:p>
      <w:pPr>
        <w:ind w:left="1080" w:right="240" w:hanging="532"/>
        <w:spacing w:after="0" w:line="28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Mail</w:t>
      </w:r>
      <w:r>
        <w:rPr>
          <w:rFonts w:ascii="Times New Roman" w:cs="Times New Roman" w:eastAsia="Times New Roman" w:hAnsi="Times New Roman"/>
          <w:sz w:val="18"/>
          <w:szCs w:val="18"/>
          <w:color w:val="auto"/>
        </w:rPr>
        <w:t>. If you request printed copies of the proxy materials by mail, you will receive a proxy card or voting instruction form and you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by completing, signing and mailing your proxy card or voting instruction form; or</w:t>
      </w:r>
    </w:p>
    <w:p>
      <w:pPr>
        <w:spacing w:after="0" w:line="63" w:lineRule="exact"/>
        <w:rPr>
          <w:rFonts w:ascii="Times New Roman" w:cs="Times New Roman" w:eastAsia="Times New Roman" w:hAnsi="Times New Roman"/>
          <w:sz w:val="18"/>
          <w:szCs w:val="18"/>
          <w:color w:val="auto"/>
        </w:rPr>
      </w:pPr>
    </w:p>
    <w:p>
      <w:pPr>
        <w:ind w:left="1080" w:right="40" w:hanging="532"/>
        <w:spacing w:after="0" w:line="281" w:lineRule="auto"/>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During the 2026 Annual Meeting</w:t>
      </w:r>
      <w:r>
        <w:rPr>
          <w:rFonts w:ascii="Times New Roman" w:cs="Times New Roman" w:eastAsia="Times New Roman" w:hAnsi="Times New Roman"/>
          <w:sz w:val="17"/>
          <w:szCs w:val="17"/>
          <w:color w:val="auto"/>
        </w:rPr>
        <w:t>. You may vote by attending and voting virtually via the Internet during the 2026 Annual Meeting. If you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desire to vote during the meeting, please follow the instructions for attending and voting during the 2026 Annual Meeting posted at www.virtualshareholdermeeting.com/UPST2026 (have the Notice or proxy card in hand when you visit the website for the 16-digit control number needed to vote). All votes must be received by the independent inspector of elections before the polls close during the meeting.</w:t>
      </w:r>
    </w:p>
    <w:p>
      <w:pPr>
        <w:spacing w:after="0" w:line="16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If you are a street-name stockholder, you will receive voting instructions from your broker or other nominee. You must follow the voting instructions provided by your broker, bank, or other nominee in order to direct your broker, bank, or other nominee on how to vote your shares. Street-name stockholders should generally be able to vote by returning a voting instruction form and may be able to vote by telephone or on the Internet, depending on the voting process of your broker, bank, or other nominee. As discussed above, if you are a street-name stockholder, you may not vote your shares live at the 2026 Annual Meeting unless you obtain a legal proxy from your broker, bank, or other nominee.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Yes. If you are a stockholder of record, you can change your vote or revoke your proxy at any time before the 2026 Annual Meeting by:</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casting a new vote by Internet or by telephone before 8:59 p.m. Pacific Time on May 27,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a later-dated proxy card;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our corporate secretary, in writing, at Upstart Holdings, Inc., Attention: Corporate Secretary, 2950 S. Delaware Street, Suite 410, San Mateo, California 94403;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attending the 2026 Annual Meeting and voting electronically.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Simply attending the 2026 Annual Meeting will not cause your previously granted proxy to be revoked.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street-name stockholder, you may revoke any prior voting instructions by contacting your broker or other nominee.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stock you own at the 2026 Annual Meeting. The person you designate is your “proxy,” and you give your proxy authority to vote your shares by voting by telephone or over the Internet, or if you requested to receive a printed copy of the proxy materials, by submitting the proxy card.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Proxies are solicited by and on behalf of our Board, and our Board has designated Paul Gu, Sanjay Datta and Scott Darling to serve as proxy holders for the 2026 Annual Meeting. When proxies are properly dated, executed and returned, the shares represented by such proxies will be voted at the 2026 Annual Meeting in accordance with the instructions of the stockholder. If no specific instructions are given, however, the shares will be voted in accordance with the recommendations of our Board described above. If any matters not described in the proxy statement are properly presented at the 2026 Annual Meeting, the proxy holders will use their own judgment to determine how to vote your shares. If the 2026 Annual Meeting is adjourned or postponed, the proxy holders can also vote your shares on the new meeting date unless you have properly revoked your proxy instructions as described above.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 instead of a full set of proxy materials?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rules of the U.S. Securities and Exchange Commission (the “SEC”), we have elected to furnish our proxy materials, including this proxy statement and our annual report, primarily via the Internet. On or about April 16, 2026, we expect to mail to our stockholders the Notice that contains instructions on how to access our proxy materials on the Internet, how to vote on the proposals to be presented at the 2026 Annual Meeting, and how to request printed copies of the proxy materials and our Annual Report on Form 10-K.</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our costs and the environmental impact of our annual meetings.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Are a certain number of shares required to be present at the 2026 Annual Meeting?</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quorum is the minimum number of shares required to virtually attend or be represented by proxy at the 2026 Annual Meeting for the meeting to be properly held and business to be conducted at the meeting under our bylaws and Delaware law. If there is no quorum at the 2026 Annual Meeting, either the chairperson of the meeting or the stockholders entitled to vote who are present at the meeting may adjourn the meeting to another time. The presence, online or by proxy, of stockholders entitled to cast a majority of all issued and outstanding shares of common stock entitled to vote at the 2026 Annual Meeting will constitute a quorum at the meeting.</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proxy submitted by a stockholder may indicate that all or a portion of the shares represented by the proxy are not being voted (referred to as “stockholder withholding”) with respect to a particular matter. Similarly, a broker may not be permitted to vote stock, referred to as a “broker non-vote,” held in street name with respect to certain matters in the absence of instructions from the beneficial owner of the stock. The shares subject to a proxy that are not being voted on a particular matter due to either stockholder withholding or broker non-vote will count for purposes of determining the presence of a quorum. Abstentions are also counted in the determination of a quorum.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effects of abstentions and broker non-votes?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 abstention represents a stockholder’s affirmative choice to decline to vote on a proposal. If a stockholder indicates on its proxy card that it wishes to abstain from voting its shares, or if a broker or other nominee causes abstentions to be recorded for shares, these shares will be considered present and entitled to vote at the 2026 Annual Meeting. As a result, abstentions will be counted for purposes of determining the presence or absence of a quorum and will also count as votes against a proposal in cases where approval of the proposal requires the affirmative vote of a majority of the voting power of the shares present virtually or represented by proxy and entitled to vote at the 2026 Annual Meeting (i.e., Proposal No. 2 and Proposal No. 3). However, because the outcome of Proposal No. 1 (election of directors) will be determined by a plurality vote, abstentions will have no impact on the outcome of such proposals as long as a quorum exists.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82"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Broker non-votes occur when a broker or other nominee (i.e., the record holder) does not receive voting instructions from the beneficial owner and lacks the discretionary authority to vote the shares. Broker non-votes will be counted for purposes of calculating whether a quorum is present at the 2026 Annual Meeting but will not be counted for purposes of determining the number of votes cast on a proposal. Therefore, a broker non-vote will make a quorum more readily attainable but will not otherwise affect the outcome of the vote on any of the proposals.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for approval of each matter?</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Proposal No. 1 - Election of Directors</w:t>
      </w:r>
      <w:r>
        <w:rPr>
          <w:rFonts w:ascii="Times New Roman" w:cs="Times New Roman" w:eastAsia="Times New Roman" w:hAnsi="Times New Roman"/>
          <w:sz w:val="18"/>
          <w:szCs w:val="18"/>
          <w:color w:val="auto"/>
        </w:rPr>
        <w:t>: The election of directors requires a plurality vote of the shares of common stock present virtually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at the 2026 Annual Meeting. “Plurality” means that the nominees who receive the largest number of votes cast “FOR” are elected as directors. As a result, any shares not voted “FOR” with respect to a particular nominee (whether as a result of a stockholder abstention or withholding or a broker non-vote) will not be counted and will have no effect on the outcome of the election.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Proposal No. 2 - Ratification of the Appointment of Deloitte &amp; Touche LLP</w:t>
      </w:r>
      <w:r>
        <w:rPr>
          <w:rFonts w:ascii="Times New Roman" w:cs="Times New Roman" w:eastAsia="Times New Roman" w:hAnsi="Times New Roman"/>
          <w:sz w:val="18"/>
          <w:szCs w:val="18"/>
          <w:color w:val="auto"/>
        </w:rPr>
        <w:t>: The ratification of the appointment of Deloitte &amp; Touche LLP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for the current fiscal year ending December 31, 2026 requires the affirmative “FOR” vote of a majority of the shares present virtually or by proxy at the 2026 Annual Meeting and entitled to vote thereon to be approved. Abstentions are considered shares present and entitled to vote on this proposal and thus will have the same effect as a vote “against” the proposal. Broker non-votes will have no effect on the outcome of this proposal.</w:t>
      </w:r>
    </w:p>
    <w:p>
      <w:pPr>
        <w:spacing w:after="0" w:line="183"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Proposal No. 3 - Advisory Vote on the Compensation of Our Named Executive Officers</w:t>
      </w:r>
      <w:r>
        <w:rPr>
          <w:rFonts w:ascii="Times New Roman" w:cs="Times New Roman" w:eastAsia="Times New Roman" w:hAnsi="Times New Roman"/>
          <w:sz w:val="18"/>
          <w:szCs w:val="18"/>
          <w:color w:val="auto"/>
        </w:rPr>
        <w:t>: The approval, on an advisory basis, of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named executive officers, requires the affirmative “FOR” vote of a majority of the shares present virtually or by proxy at the 2026 Annual Meeting and entitled to vote thereon to be approved. Abstentions are considered shares present and entitled to vote on this proposal and thus will have the same effect as a vote “against” the proposal. Broker non-votes will have no effect on the outcome of this proposal. Because this proposal is an advisory vote, the result will not be binding on our Board or our company. Our Board and our compensation committee, however, will consider the outcome of the vote when determining the compensation of our named executive officers.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proxies solicited for the 2026 Annual Meeting?</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Board is soliciting proxies for use at the 2026 Annual Meeting. All expenses associated with this solicitation, including the cost of preparing, assembling, printing, filing, mailing and otherwise distributing the Notice or proxy materials and soliciting votes for use at the 2026 Annual Meeting will be borne by Upstart. If you choose to access the proxy materials or vote over the Internet or telephone, you are responsible for Internet access or telephone charges you may incur. In addition to the mailing of the Notice or proxy materials, the solicitation of proxies or votes may be made in person, by telephone, or by electronic communication by our directors, officers and employees, who will not be paid any additional compensation for such solicitation activities.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may my brokerage firm or other intermediary vote my shares if I fail to provide timely directions?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If your broker or another intermediary holds your shares as your nominee (that is, in “street name”), you will need to follow the instructions your broker provides to instruct your broker on how to vote your shares. If you do not give timely instructions to your broker, your broker will have discretion to vote your shares on our sole “routine” matter: the proposal to ratify the appointment of Deloitte &amp; Touche LLP as our independent registered public accounting firm for the fiscal year ending December 31, 2026 (Proposal No. 2). Your broker will not have discretion to vote on any other proposals, which are “non-routine” matters, absent direction from you and failure to provide instructions on these matters will result in a “broker non-vote.”</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inspector of election appointed by our Board for the 2026 Annual Meeting is responsible for counting votes.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Upstart or to third parties, except as necessary to meet applicable legal requirements, to allow for the tabulation of votes and certification of the vote, or to facilitate a successful proxy solicitation.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2026 Annual Meeting?</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possible, we will announce preliminary voting results at the 2026 Annual Meeting. We will also disclose final voting results on a Current Report on Form 8-K (a “Form 8-K”) that we expect to file with the SEC within four business days after the 2026 Annual Meeting. If final voting results are not available to us in time to file a Form 8-K, we will file a Form 8-K to publish preliminary results and will provide the final results in an amendment to the Form 8-K as soon as they become available.</w:t>
      </w:r>
    </w:p>
    <w:p>
      <w:pPr>
        <w:spacing w:after="0" w:line="284"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Notice or proxy materials. How may I obtain an additional copy of the Notice or proxy materials?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to limit duplicate copies of our proxy materials being printed and delivered to stockholders sharing the same address. Under this householding procedure, we send only a single copy of the Notice and, if applicable, the proxy materials to multiple stockholders of record who share the same address unless one of those stockholders notifies us that the stockholder would like a separate copy of the Notice or proxy materials.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we only send a single copy of next year’s Notice and, if applicable, the proxy materials, stockholders may contact us by email at ir@upstart.com, by telephone at (833) 212-2461 or at the following address:</w:t>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Upstart Holdings,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Attention: Investor Relations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2950 S. Delaware Street, Suite 410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Mateo, California 94403</w:t>
      </w:r>
    </w:p>
    <w:p>
      <w:pPr>
        <w:spacing w:after="0" w:line="20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Stockholders who hold shares in street name may contact their brokerage firm, bank, broker-dealer or other similar organization to request information about householding.</w:t>
      </w:r>
    </w:p>
    <w:p>
      <w:pPr>
        <w:spacing w:after="0" w:line="26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Stockholder Proposals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2027 annual meeting of stockholders, our corporate secretary must receive the written proposal at our principal executive offices not later than December 9, 2026. If the date of our 2027 annual meeting is changed by more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than 30 days from the one-year anniversary date of the 2026 Annual Meeting, stockholder proposals must be received within a reasonable time before we begin to print and send proxy materials. Stockholder proposals must also comply with all other requirements of Rule 14a-8 of the Securities Exchange Act of 1934, as amended (the “Exchange Act”), regarding the inclusion of stockholder proposals in company-sponsored proxy materials. Proposals should be addressed to:</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Upstart Holdings,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Attention: Corporate Secretary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2950 S. Delaware Street, Suite 410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San Mateo, California 94403</w:t>
      </w:r>
    </w:p>
    <w:p>
      <w:pPr>
        <w:spacing w:after="0" w:line="20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(1) pursuant to Upstart’s notice of meeting (or any supplement thereto); (2) by or at the direction of the Board or any committee thereof that has been formally delegated authority; (3) as may be provided in the certificate of designations for any class or series of preferred stock; or (4) by any Upstart stockholder who (A) is a stockholder of record at the time of giving of the notice contemplated by our bylaws;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our bylaws. To be timely for our 2027 annual meeting of stockholders, our corporate secretary must receive the written notice at our principal executive offices no earlier than 8:00 a.m. Pacific Time on January 28, 2027 and no later than 5:00 p.m. Pacific Time on February 27, 2027.</w:t>
      </w:r>
    </w:p>
    <w:p>
      <w:pPr>
        <w:spacing w:after="0" w:line="19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However, if we hold our 2027 annual meeting of stockholders more than 25 days before or after the one-year anniversary date of the 2026 Annual Meeting, then notice of a stockholder proposal that is not intended to be included in our proxy statement must be received no earlier than 8:00 a.m. Pacific Time on the 120th day before the 2027 annual meeting and no later than 5:00 p.m. Pacific Time, on the later of the 90th day prior to the day of the 2027 annual meeting or, if the first public announcement of the date of the 2027 annual meeting is less than 100 days prior to the date of the 2027 annual meeting, the 10th day following the day on which public announcement of the date of the 2027 annual meeting is first made. If, after complying with the provisions above, a stockholder, or such stockholder’s qualified representative, does not appear at such annual meeting to present the stockholder’s proposal, we are not required to present the proposal for a vote at such meeting.</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to satisfying the requirements of our Bylaws, including the earlier notice deadlines set forth above and therein, to comply with universal proxy rules, stockholders who intend to solicit proxies in support of director nominees (other than our nominees) must also provide notice that sets forth the information required by Rule 14a-19 of the Exchange Act, no later than March 29, 2027.</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Nomination of Director Candidates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may propose director candidates for consideration by our nominating and corporate governance committee. Any such recommendations should include the nominee’s name and qualifications for membership on our Board and should be directed to our corporate secretary at the address set forth above. For additional information regarding stockholder recommendations for director candidates, see the section titled “</w:t>
      </w:r>
      <w:r>
        <w:rPr>
          <w:rFonts w:ascii="Times New Roman" w:cs="Times New Roman" w:eastAsia="Times New Roman" w:hAnsi="Times New Roman"/>
          <w:sz w:val="18"/>
          <w:szCs w:val="18"/>
          <w:i w:val="1"/>
          <w:iCs w:val="1"/>
          <w:color w:val="auto"/>
        </w:rPr>
        <w:t>Board of Directors and Corporate Governance—Stockholder Recommendations for Nominations to our Board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In addition, our bylaws permit stockholders of record to nominate directors for election at an annual meeting of stockholders. To nominate a director, the stockholder must be entitled to vote at the annual meeting and provide the information required by our bylaws. In addition, the stockholder must give timely notice to our corporate secretary in accordance with our bylaws, which, in general, require that the notice be received by our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620"/>
        <w:spacing w:after="0" w:line="284" w:lineRule="auto"/>
        <w:rPr>
          <w:sz w:val="20"/>
          <w:szCs w:val="20"/>
          <w:color w:val="auto"/>
        </w:rPr>
      </w:pPr>
      <w:r>
        <w:rPr>
          <w:rFonts w:ascii="Times New Roman" w:cs="Times New Roman" w:eastAsia="Times New Roman" w:hAnsi="Times New Roman"/>
          <w:sz w:val="18"/>
          <w:szCs w:val="18"/>
          <w:color w:val="auto"/>
        </w:rPr>
        <w:t>corporate secretary within the time periods described above under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 for stockholder proposals that are not intended to be included in our proxy statement.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Availability of Bylaws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copy of our bylaws may be obtained by accessing our filings on the SEC’s website at www.sec.gov or on the Investor Relations page of our website at ir.upstart.com/corporate-governance/governance-overview. You may also contact our corporate secretary at our principal executive offices for a copy of the relevant bylaw provisions regarding the requirements for making stockholder proposals and nominating director candidates.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the 2026 Annual Meeting being held virtually?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continuously exploring technologies and services that will best permit our stockholders to engage with us from any location around the world and exercise their vote. As was the case for last year’s annual meeting of stockholders, we have decided to conduct the 2026 Annual Meeting on a virtual basis because we believe a virtual meeting improves communication and enables increased stockholder attendance and participation.</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virtual meeting technology that we use provides ease of access and real-time communication, while reducing the environmental impact and costs associated with an in-person meeting. We believe that by hosting our 2026 Annual Meeting virtually, our stockholders will be provided the same rights and opportunities to participate as they would at an in-person meeting, while offering a greater level of flexibility for many of our stockholders who may not be able to attend an annual meeting of stockholders in person.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submit a question during the 2026 Annual Meeting?</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you want to submit a question during the 2026 Annual Meeting, log into www.virtualshareholdermeeting.com/UPST2026, type your question into the “Ask a Question” field, and click “Submit.” Stockholders are permitted to submit questions during the 2026 Annual Meeting via the virtual meeting website that are in compliance with the meeting rules of conduct provided on the virtual meeting website and subject to a limit of one question per stockholder. We will answer as many questions submitted in accordance with the meeting rules of conduct as possible in the time allotted for the meeting. Only questions that are relevant to our business operations will be answered during the 2026 Annual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2026 Annual Meeting?</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encourage you to access the 2026 Annual Meeting before it begins. Online check-in will start at approximately 8:45 a.m. Pacific Time on May 28, 2026. If you encounter any difficulties accessing the 2026 Annual Meeting during the check-in or meeting time, please call the technical support number that will be posted on the login page at www.virtualshareholdermeeting.com/UPST2026. Technical support will be available starting at 8:45 a.m. Pacific Time on the day of the 2026 Annual Meeting and will remain available until the 2026 Annual Meeting has ended.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there are technical difficulties that affect the ability of the 2026 Annual Meeting to be held on the date and time specified in the Notice?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event of a technical malfunction or other situation that the meeting chair determines may affect the ability of the 2026 Annual Meeting to satisfy the requirements for a meeting of stockholders to be held by means of remote communication under applicable Delaware corporate law, or that otherwise makes it advisable to adjourn the 2026 Annual Meeting, the chair or secretary of the 2026 Annual Meeting will convene the meeting at 12:00 p.m. Pacific Time on the date specified above and at our address specified above solely for the purpose of adjourning the meeting to reconvene at a date, time and physical or virtual location announced by the meeting chair. Under either of the foregoing circumstances, we will post information regarding the announcement on our investor relations website at ir.upstart.com.</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which is elected by our stockholders. We have a classified Board divided into three classes, each serving with staggered three-year terms. At each annual meeting of stockholders, one class of directors will be elected for a three-year term to succeed the class whose term is then expiring. The following table sets forth information regarding our directors, including their ages as of April 16, 2026.</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10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Term</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Nominees</w:t>
            </w:r>
          </w:p>
        </w:tc>
        <w:tc>
          <w:tcPr>
            <w:tcW w:w="17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3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1080" w:type="dxa"/>
            <w:vAlign w:val="bottom"/>
            <w:gridSpan w:val="2"/>
            <w:vMerge w:val="continue"/>
          </w:tcPr>
          <w:p>
            <w:pPr>
              <w:spacing w:after="0"/>
              <w:rPr>
                <w:sz w:val="12"/>
                <w:szCs w:val="12"/>
                <w:color w:val="auto"/>
              </w:rPr>
            </w:pPr>
          </w:p>
        </w:tc>
        <w:tc>
          <w:tcPr>
            <w:tcW w:w="11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Which</w:t>
            </w:r>
          </w:p>
        </w:tc>
        <w:tc>
          <w:tcPr>
            <w:tcW w:w="0" w:type="dxa"/>
            <w:vAlign w:val="bottom"/>
          </w:tcPr>
          <w:p>
            <w:pPr>
              <w:spacing w:after="0"/>
              <w:rPr>
                <w:sz w:val="1"/>
                <w:szCs w:val="1"/>
                <w:color w:val="auto"/>
              </w:rPr>
            </w:pPr>
          </w:p>
        </w:tc>
      </w:tr>
      <w:tr>
        <w:trPr>
          <w:trHeight w:val="180"/>
        </w:trPr>
        <w:tc>
          <w:tcPr>
            <w:tcW w:w="600" w:type="dxa"/>
            <w:vAlign w:val="bottom"/>
            <w:tcBorders>
              <w:bottom w:val="single" w:sz="8" w:color="auto"/>
            </w:tcBorders>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1080" w:type="dxa"/>
            <w:vAlign w:val="bottom"/>
            <w:gridSpan w:val="2"/>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Since</w:t>
            </w:r>
          </w:p>
        </w:tc>
        <w:tc>
          <w:tcPr>
            <w:tcW w:w="110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Expires</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Nominated</w:t>
            </w:r>
          </w:p>
        </w:tc>
        <w:tc>
          <w:tcPr>
            <w:tcW w:w="0" w:type="dxa"/>
            <w:vAlign w:val="bottom"/>
          </w:tcPr>
          <w:p>
            <w:pPr>
              <w:spacing w:after="0"/>
              <w:rPr>
                <w:sz w:val="1"/>
                <w:szCs w:val="1"/>
                <w:color w:val="auto"/>
              </w:rPr>
            </w:pPr>
          </w:p>
        </w:tc>
      </w:tr>
      <w:tr>
        <w:trPr>
          <w:trHeight w:val="270"/>
        </w:trPr>
        <w:tc>
          <w:tcPr>
            <w:tcW w:w="2340" w:type="dxa"/>
            <w:vAlign w:val="bottom"/>
            <w:tcBorders>
              <w:top w:val="single" w:sz="8" w:color="BAD8EB"/>
            </w:tcBorders>
            <w:gridSpan w:val="2"/>
            <w:shd w:val="clear" w:color="auto" w:fill="BAD8EB"/>
          </w:tcPr>
          <w:p>
            <w:pPr>
              <w:spacing w:after="0" w:line="271" w:lineRule="exact"/>
              <w:rPr>
                <w:sz w:val="20"/>
                <w:szCs w:val="20"/>
                <w:color w:val="auto"/>
              </w:rPr>
            </w:pPr>
            <w:r>
              <w:rPr>
                <w:rFonts w:ascii="Times New Roman" w:cs="Times New Roman" w:eastAsia="Times New Roman" w:hAnsi="Times New Roman"/>
                <w:sz w:val="18"/>
                <w:szCs w:val="18"/>
                <w:color w:val="auto"/>
              </w:rPr>
              <w:t>Kerry Cooper</w:t>
            </w:r>
            <w:r>
              <w:rPr>
                <w:rFonts w:ascii="Times New Roman" w:cs="Times New Roman" w:eastAsia="Times New Roman" w:hAnsi="Times New Roman"/>
                <w:sz w:val="26"/>
                <w:szCs w:val="26"/>
                <w:color w:val="auto"/>
                <w:vertAlign w:val="superscript"/>
              </w:rPr>
              <w:t>(3)</w:t>
            </w:r>
          </w:p>
        </w:tc>
        <w:tc>
          <w:tcPr>
            <w:tcW w:w="180" w:type="dxa"/>
            <w:vAlign w:val="bottom"/>
            <w:tcBorders>
              <w:top w:val="single" w:sz="8" w:color="BAD8EB"/>
            </w:tcBorders>
            <w:shd w:val="clear" w:color="auto" w:fill="BAD8EB"/>
          </w:tcPr>
          <w:p>
            <w:pPr>
              <w:spacing w:after="0"/>
              <w:rPr>
                <w:sz w:val="23"/>
                <w:szCs w:val="23"/>
                <w:color w:val="auto"/>
              </w:rPr>
            </w:pPr>
          </w:p>
        </w:tc>
        <w:tc>
          <w:tcPr>
            <w:tcW w:w="640" w:type="dxa"/>
            <w:vAlign w:val="bottom"/>
            <w:tcBorders>
              <w:top w:val="single" w:sz="8" w:color="auto"/>
            </w:tcBorders>
            <w:shd w:val="clear" w:color="auto" w:fill="BAD8EB"/>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80" w:type="dxa"/>
            <w:vAlign w:val="bottom"/>
            <w:tcBorders>
              <w:top w:val="single" w:sz="8" w:color="BAD8EB"/>
            </w:tcBorders>
            <w:shd w:val="clear" w:color="auto" w:fill="BAD8EB"/>
          </w:tcPr>
          <w:p>
            <w:pPr>
              <w:spacing w:after="0"/>
              <w:rPr>
                <w:sz w:val="23"/>
                <w:szCs w:val="23"/>
                <w:color w:val="auto"/>
              </w:rPr>
            </w:pPr>
          </w:p>
        </w:tc>
        <w:tc>
          <w:tcPr>
            <w:tcW w:w="300" w:type="dxa"/>
            <w:vAlign w:val="bottom"/>
            <w:tcBorders>
              <w:top w:val="single" w:sz="8" w:color="auto"/>
            </w:tcBorders>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top w:val="single" w:sz="8" w:color="BAD8EB"/>
            </w:tcBorders>
            <w:shd w:val="clear" w:color="auto" w:fill="BAD8EB"/>
          </w:tcPr>
          <w:p>
            <w:pPr>
              <w:spacing w:after="0"/>
              <w:rPr>
                <w:sz w:val="23"/>
                <w:szCs w:val="23"/>
                <w:color w:val="auto"/>
              </w:rPr>
            </w:pPr>
          </w:p>
        </w:tc>
        <w:tc>
          <w:tcPr>
            <w:tcW w:w="3720" w:type="dxa"/>
            <w:vAlign w:val="bottom"/>
            <w:tcBorders>
              <w:top w:val="single" w:sz="8" w:color="auto"/>
            </w:tcBorders>
            <w:shd w:val="clear" w:color="auto" w:fill="BAD8EB"/>
          </w:tcPr>
          <w:p>
            <w:pPr>
              <w:jc w:val="center"/>
              <w:spacing w:after="0"/>
              <w:rPr>
                <w:sz w:val="20"/>
                <w:szCs w:val="20"/>
                <w:color w:val="auto"/>
              </w:rPr>
            </w:pPr>
            <w:r>
              <w:rPr>
                <w:rFonts w:ascii="Times New Roman" w:cs="Times New Roman" w:eastAsia="Times New Roman" w:hAnsi="Times New Roman"/>
                <w:sz w:val="18"/>
                <w:szCs w:val="18"/>
                <w:color w:val="auto"/>
                <w:w w:val="98"/>
              </w:rPr>
              <w:t>Lead Independent Director</w:t>
            </w:r>
          </w:p>
        </w:tc>
        <w:tc>
          <w:tcPr>
            <w:tcW w:w="200" w:type="dxa"/>
            <w:vAlign w:val="bottom"/>
            <w:tcBorders>
              <w:top w:val="single" w:sz="8" w:color="BAD8EB"/>
            </w:tcBorders>
            <w:shd w:val="clear" w:color="auto" w:fill="BAD8EB"/>
          </w:tcPr>
          <w:p>
            <w:pPr>
              <w:spacing w:after="0"/>
              <w:rPr>
                <w:sz w:val="23"/>
                <w:szCs w:val="23"/>
                <w:color w:val="auto"/>
              </w:rPr>
            </w:pPr>
          </w:p>
        </w:tc>
        <w:tc>
          <w:tcPr>
            <w:tcW w:w="900" w:type="dxa"/>
            <w:vAlign w:val="bottom"/>
            <w:tcBorders>
              <w:top w:val="single" w:sz="8" w:color="auto"/>
            </w:tcBorders>
            <w:shd w:val="clear" w:color="auto" w:fill="BAD8EB"/>
          </w:tcPr>
          <w:p>
            <w:pPr>
              <w:ind w:left="30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top w:val="single" w:sz="8" w:color="BAD8EB"/>
            </w:tcBorders>
            <w:shd w:val="clear" w:color="auto" w:fill="BAD8EB"/>
          </w:tcPr>
          <w:p>
            <w:pPr>
              <w:spacing w:after="0"/>
              <w:rPr>
                <w:sz w:val="23"/>
                <w:szCs w:val="23"/>
                <w:color w:val="auto"/>
              </w:rPr>
            </w:pPr>
          </w:p>
        </w:tc>
        <w:tc>
          <w:tcPr>
            <w:tcW w:w="900" w:type="dxa"/>
            <w:vAlign w:val="bottom"/>
            <w:tcBorders>
              <w:top w:val="single" w:sz="8" w:color="auto"/>
            </w:tcBorders>
            <w:shd w:val="clear" w:color="auto" w:fill="BAD8EB"/>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top w:val="single" w:sz="8" w:color="BAD8EB"/>
            </w:tcBorders>
            <w:shd w:val="clear" w:color="auto" w:fill="BAD8EB"/>
          </w:tcPr>
          <w:p>
            <w:pPr>
              <w:spacing w:after="0"/>
              <w:rPr>
                <w:sz w:val="23"/>
                <w:szCs w:val="23"/>
                <w:color w:val="auto"/>
              </w:rPr>
            </w:pPr>
          </w:p>
        </w:tc>
        <w:tc>
          <w:tcPr>
            <w:tcW w:w="1100" w:type="dxa"/>
            <w:vAlign w:val="bottom"/>
            <w:tcBorders>
              <w:top w:val="single" w:sz="8" w:color="auto"/>
            </w:tcBorders>
            <w:shd w:val="clear" w:color="auto" w:fill="BAD8EB"/>
          </w:tcPr>
          <w:p>
            <w:pPr>
              <w:jc w:val="right"/>
              <w:ind w:right="256"/>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97"/>
        </w:trPr>
        <w:tc>
          <w:tcPr>
            <w:tcW w:w="234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Mary Hentges</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III</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24"/>
                <w:szCs w:val="24"/>
                <w:color w:val="auto"/>
              </w:rPr>
            </w:pPr>
          </w:p>
        </w:tc>
        <w:tc>
          <w:tcPr>
            <w:tcW w:w="3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4"/>
                <w:szCs w:val="24"/>
                <w:color w:val="auto"/>
              </w:rPr>
            </w:pPr>
          </w:p>
        </w:tc>
        <w:tc>
          <w:tcPr>
            <w:tcW w:w="11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97"/>
        </w:trPr>
        <w:tc>
          <w:tcPr>
            <w:tcW w:w="2340" w:type="dxa"/>
            <w:vAlign w:val="bottom"/>
            <w:gridSpan w:val="2"/>
            <w:shd w:val="clear" w:color="auto" w:fill="BAD8EB"/>
          </w:tcPr>
          <w:p>
            <w:pPr>
              <w:spacing w:after="0" w:line="297" w:lineRule="exact"/>
              <w:rPr>
                <w:sz w:val="20"/>
                <w:szCs w:val="20"/>
                <w:color w:val="auto"/>
              </w:rPr>
            </w:pPr>
            <w:r>
              <w:rPr>
                <w:rFonts w:ascii="Times New Roman" w:cs="Times New Roman" w:eastAsia="Times New Roman" w:hAnsi="Times New Roman"/>
                <w:sz w:val="18"/>
                <w:szCs w:val="18"/>
                <w:color w:val="auto"/>
              </w:rPr>
              <w:t>Ciaran O’Kelly</w:t>
            </w:r>
            <w:r>
              <w:rPr>
                <w:rFonts w:ascii="Times New Roman" w:cs="Times New Roman" w:eastAsia="Times New Roman" w:hAnsi="Times New Roman"/>
                <w:sz w:val="26"/>
                <w:szCs w:val="26"/>
                <w:color w:val="auto"/>
                <w:vertAlign w:val="superscript"/>
              </w:rPr>
              <w:t>(1)(2)</w:t>
            </w:r>
          </w:p>
        </w:tc>
        <w:tc>
          <w:tcPr>
            <w:tcW w:w="180" w:type="dxa"/>
            <w:vAlign w:val="bottom"/>
            <w:shd w:val="clear" w:color="auto" w:fill="BAD8EB"/>
          </w:tcPr>
          <w:p>
            <w:pPr>
              <w:spacing w:after="0"/>
              <w:rPr>
                <w:sz w:val="24"/>
                <w:szCs w:val="24"/>
                <w:color w:val="auto"/>
              </w:rPr>
            </w:pPr>
          </w:p>
        </w:tc>
        <w:tc>
          <w:tcPr>
            <w:tcW w:w="820" w:type="dxa"/>
            <w:vAlign w:val="bottom"/>
            <w:gridSpan w:val="2"/>
            <w:shd w:val="clear" w:color="auto" w:fill="BAD8EB"/>
          </w:tcPr>
          <w:p>
            <w:pPr>
              <w:jc w:val="center"/>
              <w:ind w:right="200"/>
              <w:spacing w:after="0"/>
              <w:rPr>
                <w:sz w:val="20"/>
                <w:szCs w:val="20"/>
                <w:color w:val="auto"/>
              </w:rPr>
            </w:pPr>
            <w:r>
              <w:rPr>
                <w:rFonts w:ascii="Times New Roman" w:cs="Times New Roman" w:eastAsia="Times New Roman" w:hAnsi="Times New Roman"/>
                <w:sz w:val="18"/>
                <w:szCs w:val="18"/>
                <w:color w:val="auto"/>
                <w:w w:val="99"/>
              </w:rPr>
              <w:t>III</w:t>
            </w:r>
          </w:p>
        </w:tc>
        <w:tc>
          <w:tcPr>
            <w:tcW w:w="30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BAD8EB"/>
          </w:tcPr>
          <w:p>
            <w:pPr>
              <w:spacing w:after="0"/>
              <w:rPr>
                <w:sz w:val="24"/>
                <w:szCs w:val="24"/>
                <w:color w:val="auto"/>
              </w:rPr>
            </w:pPr>
          </w:p>
        </w:tc>
        <w:tc>
          <w:tcPr>
            <w:tcW w:w="3920" w:type="dxa"/>
            <w:vAlign w:val="bottom"/>
            <w:gridSpan w:val="2"/>
            <w:shd w:val="clear" w:color="auto" w:fill="BAD8EB"/>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900" w:type="dxa"/>
            <w:vAlign w:val="bottom"/>
            <w:shd w:val="clear" w:color="auto" w:fill="BAD8EB"/>
          </w:tcPr>
          <w:p>
            <w:pPr>
              <w:ind w:left="30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shd w:val="clear" w:color="auto" w:fill="BAD8EB"/>
          </w:tcPr>
          <w:p>
            <w:pPr>
              <w:spacing w:after="0"/>
              <w:rPr>
                <w:sz w:val="24"/>
                <w:szCs w:val="24"/>
                <w:color w:val="auto"/>
              </w:rPr>
            </w:pPr>
          </w:p>
        </w:tc>
        <w:tc>
          <w:tcPr>
            <w:tcW w:w="900" w:type="dxa"/>
            <w:vAlign w:val="bottom"/>
            <w:shd w:val="clear" w:color="auto" w:fill="BAD8EB"/>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BAD8EB"/>
          </w:tcPr>
          <w:p>
            <w:pPr>
              <w:spacing w:after="0"/>
              <w:rPr>
                <w:sz w:val="24"/>
                <w:szCs w:val="24"/>
                <w:color w:val="auto"/>
              </w:rPr>
            </w:pPr>
          </w:p>
        </w:tc>
        <w:tc>
          <w:tcPr>
            <w:tcW w:w="1100" w:type="dxa"/>
            <w:vAlign w:val="bottom"/>
            <w:shd w:val="clear" w:color="auto" w:fill="BAD8EB"/>
          </w:tcPr>
          <w:p>
            <w:pPr>
              <w:jc w:val="right"/>
              <w:ind w:right="256"/>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2"/>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Not Standing for Election</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or Re-Election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34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Dave Girouard</w:t>
            </w:r>
          </w:p>
        </w:tc>
        <w:tc>
          <w:tcPr>
            <w:tcW w:w="180" w:type="dxa"/>
            <w:vAlign w:val="bottom"/>
            <w:shd w:val="clear" w:color="auto" w:fill="BAD8EB"/>
          </w:tcPr>
          <w:p>
            <w:pPr>
              <w:spacing w:after="0"/>
              <w:rPr>
                <w:sz w:val="22"/>
                <w:szCs w:val="22"/>
                <w:color w:val="auto"/>
              </w:rPr>
            </w:pPr>
          </w:p>
        </w:tc>
        <w:tc>
          <w:tcPr>
            <w:tcW w:w="820" w:type="dxa"/>
            <w:vAlign w:val="bottom"/>
            <w:gridSpan w:val="2"/>
            <w:shd w:val="clear" w:color="auto" w:fill="BAD8EB"/>
          </w:tcPr>
          <w:p>
            <w:pPr>
              <w:jc w:val="center"/>
              <w:ind w:right="200"/>
              <w:spacing w:after="0"/>
              <w:rPr>
                <w:sz w:val="20"/>
                <w:szCs w:val="20"/>
                <w:color w:val="auto"/>
              </w:rPr>
            </w:pPr>
            <w:r>
              <w:rPr>
                <w:rFonts w:ascii="Times New Roman" w:cs="Times New Roman" w:eastAsia="Times New Roman" w:hAnsi="Times New Roman"/>
                <w:sz w:val="18"/>
                <w:szCs w:val="18"/>
                <w:color w:val="auto"/>
                <w:w w:val="99"/>
              </w:rPr>
              <w:t>I</w:t>
            </w:r>
          </w:p>
        </w:tc>
        <w:tc>
          <w:tcPr>
            <w:tcW w:w="30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BAD8EB"/>
          </w:tcPr>
          <w:p>
            <w:pPr>
              <w:spacing w:after="0"/>
              <w:rPr>
                <w:sz w:val="22"/>
                <w:szCs w:val="22"/>
                <w:color w:val="auto"/>
              </w:rPr>
            </w:pPr>
          </w:p>
        </w:tc>
        <w:tc>
          <w:tcPr>
            <w:tcW w:w="3920" w:type="dxa"/>
            <w:vAlign w:val="bottom"/>
            <w:gridSpan w:val="2"/>
            <w:shd w:val="clear" w:color="auto" w:fill="BAD8EB"/>
          </w:tcPr>
          <w:p>
            <w:pPr>
              <w:jc w:val="center"/>
              <w:ind w:right="200"/>
              <w:spacing w:after="0"/>
              <w:rPr>
                <w:sz w:val="20"/>
                <w:szCs w:val="20"/>
                <w:color w:val="auto"/>
              </w:rPr>
            </w:pPr>
            <w:r>
              <w:rPr>
                <w:rFonts w:ascii="Times New Roman" w:cs="Times New Roman" w:eastAsia="Times New Roman" w:hAnsi="Times New Roman"/>
                <w:sz w:val="18"/>
                <w:szCs w:val="18"/>
                <w:color w:val="auto"/>
                <w:w w:val="98"/>
              </w:rPr>
              <w:t>Chief Executive Officer;</w:t>
            </w:r>
          </w:p>
        </w:tc>
        <w:tc>
          <w:tcPr>
            <w:tcW w:w="900" w:type="dxa"/>
            <w:vAlign w:val="bottom"/>
            <w:shd w:val="clear" w:color="auto" w:fill="BAD8EB"/>
          </w:tcPr>
          <w:p>
            <w:pPr>
              <w:ind w:left="300"/>
              <w:spacing w:after="0"/>
              <w:rPr>
                <w:sz w:val="20"/>
                <w:szCs w:val="20"/>
                <w:color w:val="auto"/>
              </w:rPr>
            </w:pPr>
            <w:r>
              <w:rPr>
                <w:rFonts w:ascii="Times New Roman" w:cs="Times New Roman" w:eastAsia="Times New Roman" w:hAnsi="Times New Roman"/>
                <w:sz w:val="18"/>
                <w:szCs w:val="18"/>
                <w:color w:val="auto"/>
              </w:rPr>
              <w:t>2012</w:t>
            </w:r>
          </w:p>
        </w:tc>
        <w:tc>
          <w:tcPr>
            <w:tcW w:w="180" w:type="dxa"/>
            <w:vAlign w:val="bottom"/>
            <w:shd w:val="clear" w:color="auto" w:fill="BAD8EB"/>
          </w:tcPr>
          <w:p>
            <w:pPr>
              <w:spacing w:after="0"/>
              <w:rPr>
                <w:sz w:val="22"/>
                <w:szCs w:val="22"/>
                <w:color w:val="auto"/>
              </w:rPr>
            </w:pPr>
          </w:p>
        </w:tc>
        <w:tc>
          <w:tcPr>
            <w:tcW w:w="900" w:type="dxa"/>
            <w:vAlign w:val="bottom"/>
            <w:shd w:val="clear" w:color="auto" w:fill="BAD8EB"/>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BAD8EB"/>
          </w:tcPr>
          <w:p>
            <w:pPr>
              <w:spacing w:after="0"/>
              <w:rPr>
                <w:sz w:val="22"/>
                <w:szCs w:val="22"/>
                <w:color w:val="auto"/>
              </w:rPr>
            </w:pPr>
          </w:p>
        </w:tc>
        <w:tc>
          <w:tcPr>
            <w:tcW w:w="1100" w:type="dxa"/>
            <w:vAlign w:val="bottom"/>
            <w:shd w:val="clear" w:color="auto" w:fill="BAD8EB"/>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00" w:type="dxa"/>
            <w:vAlign w:val="bottom"/>
            <w:tcBorders>
              <w:bottom w:val="single" w:sz="8" w:color="BAD8EB"/>
            </w:tcBorders>
            <w:shd w:val="clear" w:color="auto" w:fill="BAD8EB"/>
          </w:tcPr>
          <w:p>
            <w:pPr>
              <w:spacing w:after="0"/>
              <w:rPr>
                <w:sz w:val="22"/>
                <w:szCs w:val="22"/>
                <w:color w:val="auto"/>
              </w:rPr>
            </w:pPr>
          </w:p>
        </w:tc>
        <w:tc>
          <w:tcPr>
            <w:tcW w:w="1740" w:type="dxa"/>
            <w:vAlign w:val="bottom"/>
            <w:tcBorders>
              <w:bottom w:val="single" w:sz="8" w:color="BAD8EB"/>
            </w:tcBorders>
            <w:shd w:val="clear" w:color="auto" w:fill="BAD8EB"/>
          </w:tcPr>
          <w:p>
            <w:pPr>
              <w:spacing w:after="0"/>
              <w:rPr>
                <w:sz w:val="22"/>
                <w:szCs w:val="22"/>
                <w:color w:val="auto"/>
              </w:rPr>
            </w:pPr>
          </w:p>
        </w:tc>
        <w:tc>
          <w:tcPr>
            <w:tcW w:w="180" w:type="dxa"/>
            <w:vAlign w:val="bottom"/>
            <w:tcBorders>
              <w:bottom w:val="single" w:sz="8" w:color="BAD8EB"/>
            </w:tcBorders>
            <w:shd w:val="clear" w:color="auto" w:fill="BAD8EB"/>
          </w:tcPr>
          <w:p>
            <w:pPr>
              <w:spacing w:after="0"/>
              <w:rPr>
                <w:sz w:val="22"/>
                <w:szCs w:val="22"/>
                <w:color w:val="auto"/>
              </w:rPr>
            </w:pPr>
          </w:p>
        </w:tc>
        <w:tc>
          <w:tcPr>
            <w:tcW w:w="640" w:type="dxa"/>
            <w:vAlign w:val="bottom"/>
            <w:tcBorders>
              <w:bottom w:val="single" w:sz="8" w:color="BAD8EB"/>
            </w:tcBorders>
            <w:shd w:val="clear" w:color="auto" w:fill="BAD8EB"/>
          </w:tcPr>
          <w:p>
            <w:pPr>
              <w:spacing w:after="0"/>
              <w:rPr>
                <w:sz w:val="22"/>
                <w:szCs w:val="22"/>
                <w:color w:val="auto"/>
              </w:rPr>
            </w:pPr>
          </w:p>
        </w:tc>
        <w:tc>
          <w:tcPr>
            <w:tcW w:w="180" w:type="dxa"/>
            <w:vAlign w:val="bottom"/>
            <w:tcBorders>
              <w:bottom w:val="single" w:sz="8" w:color="BAD8EB"/>
            </w:tcBorders>
            <w:shd w:val="clear" w:color="auto" w:fill="BAD8EB"/>
          </w:tcPr>
          <w:p>
            <w:pPr>
              <w:spacing w:after="0"/>
              <w:rPr>
                <w:sz w:val="22"/>
                <w:szCs w:val="22"/>
                <w:color w:val="auto"/>
              </w:rPr>
            </w:pPr>
          </w:p>
        </w:tc>
        <w:tc>
          <w:tcPr>
            <w:tcW w:w="300" w:type="dxa"/>
            <w:vAlign w:val="bottom"/>
            <w:tcBorders>
              <w:bottom w:val="single" w:sz="8" w:color="BAD8EB"/>
            </w:tcBorders>
            <w:shd w:val="clear" w:color="auto" w:fill="BAD8EB"/>
          </w:tcPr>
          <w:p>
            <w:pPr>
              <w:spacing w:after="0"/>
              <w:rPr>
                <w:sz w:val="22"/>
                <w:szCs w:val="22"/>
                <w:color w:val="auto"/>
              </w:rPr>
            </w:pPr>
          </w:p>
        </w:tc>
        <w:tc>
          <w:tcPr>
            <w:tcW w:w="180" w:type="dxa"/>
            <w:vAlign w:val="bottom"/>
            <w:tcBorders>
              <w:bottom w:val="single" w:sz="8" w:color="BAD8EB"/>
            </w:tcBorders>
            <w:shd w:val="clear" w:color="auto" w:fill="BAD8EB"/>
          </w:tcPr>
          <w:p>
            <w:pPr>
              <w:spacing w:after="0"/>
              <w:rPr>
                <w:sz w:val="22"/>
                <w:szCs w:val="22"/>
                <w:color w:val="auto"/>
              </w:rPr>
            </w:pPr>
          </w:p>
        </w:tc>
        <w:tc>
          <w:tcPr>
            <w:tcW w:w="3920" w:type="dxa"/>
            <w:vAlign w:val="bottom"/>
            <w:tcBorders>
              <w:bottom w:val="single" w:sz="8" w:color="BAD8EB"/>
            </w:tcBorders>
            <w:gridSpan w:val="2"/>
            <w:shd w:val="clear" w:color="auto" w:fill="BAD8EB"/>
          </w:tcPr>
          <w:p>
            <w:pPr>
              <w:jc w:val="center"/>
              <w:ind w:right="200"/>
              <w:spacing w:after="0"/>
              <w:rPr>
                <w:sz w:val="20"/>
                <w:szCs w:val="20"/>
                <w:color w:val="auto"/>
              </w:rPr>
            </w:pPr>
            <w:r>
              <w:rPr>
                <w:rFonts w:ascii="Times New Roman" w:cs="Times New Roman" w:eastAsia="Times New Roman" w:hAnsi="Times New Roman"/>
                <w:sz w:val="18"/>
                <w:szCs w:val="18"/>
                <w:color w:val="auto"/>
              </w:rPr>
              <w:t>Chairperson of the Board</w:t>
            </w:r>
          </w:p>
        </w:tc>
        <w:tc>
          <w:tcPr>
            <w:tcW w:w="900" w:type="dxa"/>
            <w:vAlign w:val="bottom"/>
            <w:tcBorders>
              <w:bottom w:val="single" w:sz="8" w:color="BAD8EB"/>
            </w:tcBorders>
            <w:shd w:val="clear" w:color="auto" w:fill="BAD8EB"/>
          </w:tcPr>
          <w:p>
            <w:pPr>
              <w:spacing w:after="0"/>
              <w:rPr>
                <w:sz w:val="22"/>
                <w:szCs w:val="22"/>
                <w:color w:val="auto"/>
              </w:rPr>
            </w:pPr>
          </w:p>
        </w:tc>
        <w:tc>
          <w:tcPr>
            <w:tcW w:w="180" w:type="dxa"/>
            <w:vAlign w:val="bottom"/>
            <w:tcBorders>
              <w:bottom w:val="single" w:sz="8" w:color="BAD8EB"/>
            </w:tcBorders>
            <w:shd w:val="clear" w:color="auto" w:fill="BAD8EB"/>
          </w:tcPr>
          <w:p>
            <w:pPr>
              <w:spacing w:after="0"/>
              <w:rPr>
                <w:sz w:val="22"/>
                <w:szCs w:val="22"/>
                <w:color w:val="auto"/>
              </w:rPr>
            </w:pPr>
          </w:p>
        </w:tc>
        <w:tc>
          <w:tcPr>
            <w:tcW w:w="900" w:type="dxa"/>
            <w:vAlign w:val="bottom"/>
            <w:tcBorders>
              <w:bottom w:val="single" w:sz="8" w:color="BAD8EB"/>
            </w:tcBorders>
            <w:shd w:val="clear" w:color="auto" w:fill="BAD8EB"/>
          </w:tcPr>
          <w:p>
            <w:pPr>
              <w:spacing w:after="0"/>
              <w:rPr>
                <w:sz w:val="22"/>
                <w:szCs w:val="22"/>
                <w:color w:val="auto"/>
              </w:rPr>
            </w:pPr>
          </w:p>
        </w:tc>
        <w:tc>
          <w:tcPr>
            <w:tcW w:w="200" w:type="dxa"/>
            <w:vAlign w:val="bottom"/>
            <w:tcBorders>
              <w:bottom w:val="single" w:sz="8" w:color="BAD8EB"/>
            </w:tcBorders>
            <w:shd w:val="clear" w:color="auto" w:fill="BAD8EB"/>
          </w:tcPr>
          <w:p>
            <w:pPr>
              <w:spacing w:after="0"/>
              <w:rPr>
                <w:sz w:val="22"/>
                <w:szCs w:val="22"/>
                <w:color w:val="auto"/>
              </w:rPr>
            </w:pPr>
          </w:p>
        </w:tc>
        <w:tc>
          <w:tcPr>
            <w:tcW w:w="1100" w:type="dxa"/>
            <w:vAlign w:val="bottom"/>
            <w:tcBorders>
              <w:bottom w:val="single" w:sz="8" w:color="BAD8EB"/>
            </w:tcBorders>
            <w:shd w:val="clear" w:color="auto" w:fill="BAD8EB"/>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34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Jeff Huber</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24"/>
                <w:szCs w:val="24"/>
                <w:color w:val="auto"/>
              </w:rPr>
            </w:pPr>
          </w:p>
        </w:tc>
        <w:tc>
          <w:tcPr>
            <w:tcW w:w="3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4"/>
                <w:szCs w:val="24"/>
                <w:color w:val="auto"/>
              </w:rPr>
            </w:pPr>
          </w:p>
        </w:tc>
        <w:tc>
          <w:tcPr>
            <w:tcW w:w="11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2340" w:type="dxa"/>
            <w:vAlign w:val="bottom"/>
            <w:gridSpan w:val="2"/>
            <w:shd w:val="clear" w:color="auto" w:fill="BAD8EB"/>
          </w:tcPr>
          <w:p>
            <w:pPr>
              <w:spacing w:after="0" w:line="297" w:lineRule="exact"/>
              <w:rPr>
                <w:sz w:val="20"/>
                <w:szCs w:val="20"/>
                <w:color w:val="auto"/>
              </w:rPr>
            </w:pPr>
            <w:r>
              <w:rPr>
                <w:rFonts w:ascii="Times New Roman" w:cs="Times New Roman" w:eastAsia="Times New Roman" w:hAnsi="Times New Roman"/>
                <w:sz w:val="18"/>
                <w:szCs w:val="18"/>
                <w:color w:val="auto"/>
              </w:rPr>
              <w:t>Hilliard Terry, III</w:t>
            </w:r>
            <w:r>
              <w:rPr>
                <w:rFonts w:ascii="Times New Roman" w:cs="Times New Roman" w:eastAsia="Times New Roman" w:hAnsi="Times New Roman"/>
                <w:sz w:val="26"/>
                <w:szCs w:val="26"/>
                <w:color w:val="auto"/>
                <w:vertAlign w:val="superscript"/>
              </w:rPr>
              <w:t>(2)</w:t>
            </w:r>
          </w:p>
        </w:tc>
        <w:tc>
          <w:tcPr>
            <w:tcW w:w="180" w:type="dxa"/>
            <w:vAlign w:val="bottom"/>
            <w:shd w:val="clear" w:color="auto" w:fill="BAD8EB"/>
          </w:tcPr>
          <w:p>
            <w:pPr>
              <w:spacing w:after="0"/>
              <w:rPr>
                <w:sz w:val="24"/>
                <w:szCs w:val="24"/>
                <w:color w:val="auto"/>
              </w:rPr>
            </w:pPr>
          </w:p>
        </w:tc>
        <w:tc>
          <w:tcPr>
            <w:tcW w:w="820" w:type="dxa"/>
            <w:vAlign w:val="bottom"/>
            <w:gridSpan w:val="2"/>
            <w:shd w:val="clear" w:color="auto" w:fill="BAD8EB"/>
          </w:tcPr>
          <w:p>
            <w:pPr>
              <w:jc w:val="center"/>
              <w:ind w:right="200"/>
              <w:spacing w:after="0"/>
              <w:rPr>
                <w:sz w:val="20"/>
                <w:szCs w:val="20"/>
                <w:color w:val="auto"/>
              </w:rPr>
            </w:pPr>
            <w:r>
              <w:rPr>
                <w:rFonts w:ascii="Times New Roman" w:cs="Times New Roman" w:eastAsia="Times New Roman" w:hAnsi="Times New Roman"/>
                <w:sz w:val="18"/>
                <w:szCs w:val="18"/>
                <w:color w:val="auto"/>
                <w:w w:val="99"/>
              </w:rPr>
              <w:t>I</w:t>
            </w:r>
          </w:p>
        </w:tc>
        <w:tc>
          <w:tcPr>
            <w:tcW w:w="30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BAD8EB"/>
          </w:tcPr>
          <w:p>
            <w:pPr>
              <w:spacing w:after="0"/>
              <w:rPr>
                <w:sz w:val="24"/>
                <w:szCs w:val="24"/>
                <w:color w:val="auto"/>
              </w:rPr>
            </w:pPr>
          </w:p>
        </w:tc>
        <w:tc>
          <w:tcPr>
            <w:tcW w:w="3920" w:type="dxa"/>
            <w:vAlign w:val="bottom"/>
            <w:gridSpan w:val="2"/>
            <w:shd w:val="clear" w:color="auto" w:fill="BAD8EB"/>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900" w:type="dxa"/>
            <w:vAlign w:val="bottom"/>
            <w:shd w:val="clear" w:color="auto" w:fill="BAD8EB"/>
          </w:tcPr>
          <w:p>
            <w:pPr>
              <w:ind w:left="30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shd w:val="clear" w:color="auto" w:fill="BAD8EB"/>
          </w:tcPr>
          <w:p>
            <w:pPr>
              <w:spacing w:after="0"/>
              <w:rPr>
                <w:sz w:val="24"/>
                <w:szCs w:val="24"/>
                <w:color w:val="auto"/>
              </w:rPr>
            </w:pPr>
          </w:p>
        </w:tc>
        <w:tc>
          <w:tcPr>
            <w:tcW w:w="900" w:type="dxa"/>
            <w:vAlign w:val="bottom"/>
            <w:shd w:val="clear" w:color="auto" w:fill="BAD8EB"/>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BAD8EB"/>
          </w:tcPr>
          <w:p>
            <w:pPr>
              <w:spacing w:after="0"/>
              <w:rPr>
                <w:sz w:val="24"/>
                <w:szCs w:val="24"/>
                <w:color w:val="auto"/>
              </w:rPr>
            </w:pPr>
          </w:p>
        </w:tc>
        <w:tc>
          <w:tcPr>
            <w:tcW w:w="1100" w:type="dxa"/>
            <w:vAlign w:val="bottom"/>
            <w:shd w:val="clear" w:color="auto" w:fill="BAD8EB"/>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234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Peter Bernard</w:t>
            </w:r>
            <w:r>
              <w:rPr>
                <w:rFonts w:ascii="Times New Roman" w:cs="Times New Roman" w:eastAsia="Times New Roman" w:hAnsi="Times New Roman"/>
                <w:sz w:val="26"/>
                <w:szCs w:val="26"/>
                <w:color w:val="auto"/>
                <w:vertAlign w:val="superscript"/>
              </w:rPr>
              <w:t>(1)(3)</w:t>
            </w:r>
          </w:p>
        </w:tc>
        <w:tc>
          <w:tcPr>
            <w:tcW w:w="18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II</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4"/>
                <w:szCs w:val="24"/>
                <w:color w:val="auto"/>
              </w:rPr>
            </w:pPr>
          </w:p>
        </w:tc>
        <w:tc>
          <w:tcPr>
            <w:tcW w:w="3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4"/>
                <w:szCs w:val="24"/>
                <w:color w:val="auto"/>
              </w:rPr>
            </w:pPr>
          </w:p>
        </w:tc>
        <w:tc>
          <w:tcPr>
            <w:tcW w:w="11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34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Paul Gu</w:t>
            </w:r>
          </w:p>
        </w:tc>
        <w:tc>
          <w:tcPr>
            <w:tcW w:w="180" w:type="dxa"/>
            <w:vAlign w:val="bottom"/>
            <w:shd w:val="clear" w:color="auto" w:fill="BAD8EB"/>
          </w:tcPr>
          <w:p>
            <w:pPr>
              <w:spacing w:after="0"/>
              <w:rPr>
                <w:sz w:val="23"/>
                <w:szCs w:val="23"/>
                <w:color w:val="auto"/>
              </w:rPr>
            </w:pPr>
          </w:p>
        </w:tc>
        <w:tc>
          <w:tcPr>
            <w:tcW w:w="820" w:type="dxa"/>
            <w:vAlign w:val="bottom"/>
            <w:gridSpan w:val="2"/>
            <w:shd w:val="clear" w:color="auto" w:fill="BAD8EB"/>
          </w:tcPr>
          <w:p>
            <w:pPr>
              <w:jc w:val="center"/>
              <w:ind w:right="180"/>
              <w:spacing w:after="0"/>
              <w:rPr>
                <w:sz w:val="20"/>
                <w:szCs w:val="20"/>
                <w:color w:val="auto"/>
              </w:rPr>
            </w:pPr>
            <w:r>
              <w:rPr>
                <w:rFonts w:ascii="Times New Roman" w:cs="Times New Roman" w:eastAsia="Times New Roman" w:hAnsi="Times New Roman"/>
                <w:sz w:val="18"/>
                <w:szCs w:val="18"/>
                <w:color w:val="auto"/>
                <w:w w:val="99"/>
              </w:rPr>
              <w:t>II</w:t>
            </w:r>
          </w:p>
        </w:tc>
        <w:tc>
          <w:tcPr>
            <w:tcW w:w="30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BAD8EB"/>
          </w:tcPr>
          <w:p>
            <w:pPr>
              <w:spacing w:after="0"/>
              <w:rPr>
                <w:sz w:val="23"/>
                <w:szCs w:val="23"/>
                <w:color w:val="auto"/>
              </w:rPr>
            </w:pPr>
          </w:p>
        </w:tc>
        <w:tc>
          <w:tcPr>
            <w:tcW w:w="3920" w:type="dxa"/>
            <w:vAlign w:val="bottom"/>
            <w:gridSpan w:val="2"/>
            <w:shd w:val="clear" w:color="auto" w:fill="BAD8EB"/>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Technology Officer; Director</w:t>
            </w:r>
          </w:p>
        </w:tc>
        <w:tc>
          <w:tcPr>
            <w:tcW w:w="900" w:type="dxa"/>
            <w:vAlign w:val="bottom"/>
            <w:shd w:val="clear" w:color="auto" w:fill="BAD8EB"/>
          </w:tcPr>
          <w:p>
            <w:pPr>
              <w:ind w:left="30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shd w:val="clear" w:color="auto" w:fill="BAD8EB"/>
          </w:tcPr>
          <w:p>
            <w:pPr>
              <w:spacing w:after="0"/>
              <w:rPr>
                <w:sz w:val="23"/>
                <w:szCs w:val="23"/>
                <w:color w:val="auto"/>
              </w:rPr>
            </w:pPr>
          </w:p>
        </w:tc>
        <w:tc>
          <w:tcPr>
            <w:tcW w:w="900" w:type="dxa"/>
            <w:vAlign w:val="bottom"/>
            <w:shd w:val="clear" w:color="auto" w:fill="BAD8EB"/>
          </w:tcPr>
          <w:p>
            <w:pPr>
              <w:ind w:left="30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BAD8EB"/>
          </w:tcPr>
          <w:p>
            <w:pPr>
              <w:spacing w:after="0"/>
              <w:rPr>
                <w:sz w:val="23"/>
                <w:szCs w:val="23"/>
                <w:color w:val="auto"/>
              </w:rPr>
            </w:pPr>
          </w:p>
        </w:tc>
        <w:tc>
          <w:tcPr>
            <w:tcW w:w="1100" w:type="dxa"/>
            <w:vAlign w:val="bottom"/>
            <w:shd w:val="clear" w:color="auto" w:fill="BAD8EB"/>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0" w:type="dxa"/>
            <w:vAlign w:val="bottom"/>
            <w:shd w:val="clear" w:color="auto" w:fill="BAD8EB"/>
          </w:tcPr>
          <w:p>
            <w:pPr>
              <w:spacing w:after="0"/>
              <w:rPr>
                <w:sz w:val="2"/>
                <w:szCs w:val="2"/>
                <w:color w:val="auto"/>
              </w:rPr>
            </w:pPr>
          </w:p>
        </w:tc>
        <w:tc>
          <w:tcPr>
            <w:tcW w:w="1740" w:type="dxa"/>
            <w:vAlign w:val="bottom"/>
            <w:shd w:val="clear" w:color="auto" w:fill="BAD8EB"/>
          </w:tcPr>
          <w:p>
            <w:pPr>
              <w:spacing w:after="0"/>
              <w:rPr>
                <w:sz w:val="2"/>
                <w:szCs w:val="2"/>
                <w:color w:val="auto"/>
              </w:rPr>
            </w:pPr>
          </w:p>
        </w:tc>
        <w:tc>
          <w:tcPr>
            <w:tcW w:w="180" w:type="dxa"/>
            <w:vAlign w:val="bottom"/>
            <w:shd w:val="clear" w:color="auto" w:fill="BAD8EB"/>
          </w:tcPr>
          <w:p>
            <w:pPr>
              <w:spacing w:after="0"/>
              <w:rPr>
                <w:sz w:val="2"/>
                <w:szCs w:val="2"/>
                <w:color w:val="auto"/>
              </w:rPr>
            </w:pPr>
          </w:p>
        </w:tc>
        <w:tc>
          <w:tcPr>
            <w:tcW w:w="640" w:type="dxa"/>
            <w:vAlign w:val="bottom"/>
            <w:shd w:val="clear" w:color="auto" w:fill="BAD8EB"/>
          </w:tcPr>
          <w:p>
            <w:pPr>
              <w:spacing w:after="0"/>
              <w:rPr>
                <w:sz w:val="2"/>
                <w:szCs w:val="2"/>
                <w:color w:val="auto"/>
              </w:rPr>
            </w:pPr>
          </w:p>
        </w:tc>
        <w:tc>
          <w:tcPr>
            <w:tcW w:w="180" w:type="dxa"/>
            <w:vAlign w:val="bottom"/>
            <w:shd w:val="clear" w:color="auto" w:fill="BAD8EB"/>
          </w:tcPr>
          <w:p>
            <w:pPr>
              <w:spacing w:after="0"/>
              <w:rPr>
                <w:sz w:val="2"/>
                <w:szCs w:val="2"/>
                <w:color w:val="auto"/>
              </w:rPr>
            </w:pPr>
          </w:p>
        </w:tc>
        <w:tc>
          <w:tcPr>
            <w:tcW w:w="300" w:type="dxa"/>
            <w:vAlign w:val="bottom"/>
            <w:shd w:val="clear" w:color="auto" w:fill="BAD8EB"/>
          </w:tcPr>
          <w:p>
            <w:pPr>
              <w:spacing w:after="0"/>
              <w:rPr>
                <w:sz w:val="2"/>
                <w:szCs w:val="2"/>
                <w:color w:val="auto"/>
              </w:rPr>
            </w:pPr>
          </w:p>
        </w:tc>
        <w:tc>
          <w:tcPr>
            <w:tcW w:w="180" w:type="dxa"/>
            <w:vAlign w:val="bottom"/>
            <w:shd w:val="clear" w:color="auto" w:fill="BAD8EB"/>
          </w:tcPr>
          <w:p>
            <w:pPr>
              <w:spacing w:after="0"/>
              <w:rPr>
                <w:sz w:val="2"/>
                <w:szCs w:val="2"/>
                <w:color w:val="auto"/>
              </w:rPr>
            </w:pPr>
          </w:p>
        </w:tc>
        <w:tc>
          <w:tcPr>
            <w:tcW w:w="3720" w:type="dxa"/>
            <w:vAlign w:val="bottom"/>
            <w:shd w:val="clear" w:color="auto" w:fill="BAD8EB"/>
          </w:tcPr>
          <w:p>
            <w:pPr>
              <w:spacing w:after="0"/>
              <w:rPr>
                <w:sz w:val="2"/>
                <w:szCs w:val="2"/>
                <w:color w:val="auto"/>
              </w:rPr>
            </w:pPr>
          </w:p>
        </w:tc>
        <w:tc>
          <w:tcPr>
            <w:tcW w:w="200" w:type="dxa"/>
            <w:vAlign w:val="bottom"/>
            <w:shd w:val="clear" w:color="auto" w:fill="BAD8EB"/>
          </w:tcPr>
          <w:p>
            <w:pPr>
              <w:spacing w:after="0"/>
              <w:rPr>
                <w:sz w:val="2"/>
                <w:szCs w:val="2"/>
                <w:color w:val="auto"/>
              </w:rPr>
            </w:pPr>
          </w:p>
        </w:tc>
        <w:tc>
          <w:tcPr>
            <w:tcW w:w="900" w:type="dxa"/>
            <w:vAlign w:val="bottom"/>
            <w:shd w:val="clear" w:color="auto" w:fill="BAD8EB"/>
          </w:tcPr>
          <w:p>
            <w:pPr>
              <w:spacing w:after="0"/>
              <w:rPr>
                <w:sz w:val="2"/>
                <w:szCs w:val="2"/>
                <w:color w:val="auto"/>
              </w:rPr>
            </w:pPr>
          </w:p>
        </w:tc>
        <w:tc>
          <w:tcPr>
            <w:tcW w:w="180" w:type="dxa"/>
            <w:vAlign w:val="bottom"/>
            <w:shd w:val="clear" w:color="auto" w:fill="BAD8EB"/>
          </w:tcPr>
          <w:p>
            <w:pPr>
              <w:spacing w:after="0"/>
              <w:rPr>
                <w:sz w:val="2"/>
                <w:szCs w:val="2"/>
                <w:color w:val="auto"/>
              </w:rPr>
            </w:pPr>
          </w:p>
        </w:tc>
        <w:tc>
          <w:tcPr>
            <w:tcW w:w="900" w:type="dxa"/>
            <w:vAlign w:val="bottom"/>
            <w:shd w:val="clear" w:color="auto" w:fill="BAD8EB"/>
          </w:tcPr>
          <w:p>
            <w:pPr>
              <w:spacing w:after="0"/>
              <w:rPr>
                <w:sz w:val="2"/>
                <w:szCs w:val="2"/>
                <w:color w:val="auto"/>
              </w:rPr>
            </w:pPr>
          </w:p>
        </w:tc>
        <w:tc>
          <w:tcPr>
            <w:tcW w:w="200" w:type="dxa"/>
            <w:vAlign w:val="bottom"/>
            <w:shd w:val="clear" w:color="auto" w:fill="BAD8EB"/>
          </w:tcPr>
          <w:p>
            <w:pPr>
              <w:spacing w:after="0"/>
              <w:rPr>
                <w:sz w:val="2"/>
                <w:szCs w:val="2"/>
                <w:color w:val="auto"/>
              </w:rPr>
            </w:pPr>
          </w:p>
        </w:tc>
        <w:tc>
          <w:tcPr>
            <w:tcW w:w="1100" w:type="dxa"/>
            <w:vAlign w:val="bottom"/>
            <w:shd w:val="clear" w:color="auto" w:fill="BAD8E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17" w:lineRule="exact"/>
        <w:rPr>
          <w:sz w:val="20"/>
          <w:szCs w:val="20"/>
          <w:color w:val="auto"/>
        </w:rPr>
      </w:pPr>
    </w:p>
    <w:p>
      <w:pPr>
        <w:ind w:left="120" w:right="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Kerry Cooper</w:t>
      </w:r>
      <w:r>
        <w:rPr>
          <w:rFonts w:ascii="Times New Roman" w:cs="Times New Roman" w:eastAsia="Times New Roman" w:hAnsi="Times New Roman"/>
          <w:sz w:val="17"/>
          <w:szCs w:val="17"/>
          <w:color w:val="auto"/>
        </w:rPr>
        <w:t>. Ms. Cooper has served as a member of our Board since March 2021. Ms. Cooper has served as a Venture Advisor with Acrew Diversify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Capital Fund, a growth-stage fund, since January 2021. She served as President and Chief Operating Officer of Rothy’s, a direct-to-consumer footwear company, from November 2017 to January 2020. Before joining Rothy’s, Ms. Cooper was the Chief Executive Officer of Choose Energy, a consumer services energy company, from 2013 to 2016. She is currently a board chair of PG&amp;E Corp., an energy-based holding company, board chair at Mozilla Corporation, and board member of Mozilla.org. She has previously served on many boards including those of TPB Acquisition Corp., BevMo, Fictiv, and Gradient. Ms. Cooper holds a B.S. in Mechanical Engineering from University of Texas at Austin and an M.B.A. from Harvard Business School.</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Cooper was selected to serve on our Board because of her extensive experience as an executive in the consumer space.</w:t>
      </w:r>
    </w:p>
    <w:p>
      <w:pPr>
        <w:spacing w:after="0" w:line="221"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Mary Hentges</w:t>
      </w:r>
      <w:r>
        <w:rPr>
          <w:rFonts w:ascii="Times New Roman" w:cs="Times New Roman" w:eastAsia="Times New Roman" w:hAnsi="Times New Roman"/>
          <w:sz w:val="18"/>
          <w:szCs w:val="18"/>
          <w:color w:val="auto"/>
        </w:rPr>
        <w:t>. Ms. Hentges has served as a member of our Board since December 2019. She served as an Advising Chief Financial Officer to Noom,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through KongBasile Consulting from November 2022 to December 2023. She previously served as the Interim Chief Financial Officer for ShotSpotter, a precision-policing solutions company from October 2020 to January 2021. Prior to ShotSpotter, Ms. Hentges served as the Chief Financial Officer of Yapstone, Inc., a financial services company, from 2012 to 2014, the Chief Financial Officer of CBS Interactive, a media company, from 2010 to 2012, and the Chief Financial Officer of PayPal, Inc.</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from 2003 to 2010. Ms. Hentges is currently a director at Broadway Financial Corporation, a bank holding company that owns City First Bank, a certified Community Development Financial Institution, where she chairs the Audit Committee and is a member of the Risk &amp; Compliance Committee and the Internal Asset Review Committee. She was previously a director at Akili, Inc., a digital therapeutics company, where she chaired the audit committee and served on the compensation committee. Ms. Hentges holds a B.S. in Accounting from Arizona State University and is a Certified Public Accountant (inactive).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Hentges was selected to serve on our Board because of her financial expertise and extensive experience as an executive in the technology industry.</w:t>
      </w:r>
    </w:p>
    <w:p>
      <w:pPr>
        <w:spacing w:after="0" w:line="22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Ciaran O’Kelly</w:t>
      </w:r>
      <w:r>
        <w:rPr>
          <w:rFonts w:ascii="Times New Roman" w:cs="Times New Roman" w:eastAsia="Times New Roman" w:hAnsi="Times New Roman"/>
          <w:sz w:val="17"/>
          <w:szCs w:val="17"/>
          <w:color w:val="auto"/>
        </w:rPr>
        <w:t>. Mr. O’Kelly has served as a member of our Board since April 2018. Mr. O’Kelly has served as the Chief Executive Officer of Prime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Technologies since 2022. From 2020 to 2021, Mr. O’Kelly worked full-time at Square (now Block, Inc.). Earlier in his career, Mr. O’Kelly held multiple leadership roles in the financial services sector. He worked at Nomura Securities, a financial services firm, most recently as Senior Managing Director and Head of Equities for the Americas. Prior to Nomura Securities, he held key positions at Bank of America, including Head of Global Equities and Head of Equity Capital Markets, as well as at Salomon Smith Barney, where he served as Head of Equity Trading. In addition to his executive roles, Mr. O’Kelly has served as a director for several prominent organizations, including Square Financial Services, Inc., Bank of America Securities, and Nomura Securities International. Mr. O’Kelly holds a Bachelor of Business Studies (B.B.S.) degree from Dublin City University.</w:t>
      </w:r>
    </w:p>
    <w:p>
      <w:pPr>
        <w:spacing w:after="0" w:line="17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Mr. O’Kelly was selected to serve on our Board because of the perspective and extensive experience he brings from his background in financial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1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Bernard. </w:t>
      </w:r>
      <w:r>
        <w:rPr>
          <w:rFonts w:ascii="Times New Roman" w:cs="Times New Roman" w:eastAsia="Times New Roman" w:hAnsi="Times New Roman"/>
          <w:sz w:val="18"/>
          <w:szCs w:val="18"/>
          <w:color w:val="auto"/>
        </w:rPr>
        <w:t>Mr. Bernard has served as a member of our Board since February 2025. He currently serves as the Board Chair of Barclays Bank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and Barclays Bank Delaware and has served in those roles since 2018. He is former chief operating officer and board director at Root Capital, a nonprofit social investment fund. From 2006 through 2013, he was a managing director and chief risk officer of D.E. Shaw &amp; Co., L.P. in New York. Prior to 2006, he held a variety of roles in finance and financial software, including: chief financial officer at RiskMetrics, a risk management software company spun out of J.P. Morgan and later acquired by MSCI; and president and cofounder of New Bond Trading, a Boston-based investment management firm. Early in his career, Mr. Bernard spent fifteen years at J.P Morgan in various capital market roles, split between New York and London. Aside from his career in finance, Bernard serves on the boards of the Massachusetts Audubon Society and Bowdoin College. He graduated from Bowdoin College in 1979 with a B.A. in Economics.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Bernard was selected to serve on our Board because of his deep expertise in finance and risk management.</w:t>
      </w:r>
    </w:p>
    <w:p>
      <w:pPr>
        <w:spacing w:after="0" w:line="2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Dave Girouard</w:t>
      </w:r>
      <w:r>
        <w:rPr>
          <w:rFonts w:ascii="Times New Roman" w:cs="Times New Roman" w:eastAsia="Times New Roman" w:hAnsi="Times New Roman"/>
          <w:sz w:val="18"/>
          <w:szCs w:val="18"/>
          <w:color w:val="auto"/>
        </w:rPr>
        <w:t>. Mr. Girouard is one of our co-founders and has served as our Chief Executive Officer and a member of our Board since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incorporation. From February 2004 to April 2012, Mr. Girouard served in various roles at Alphabet Inc. (formerly Google Inc.), most recently as President of Google Enterprise, where he helped build Google’s cloud applications business worldwide, including product development, sales, marketing, and customer support. He started his career in Silicon Valley as a Product Manager at Apple and previously served as an associate of the Information Technology practice at Booz Allen. Mr. Girouard’s career began in software development at the Boston office of Accenture. He graduated from Dartmouth College with an A.B. in Engineering Sciences and a B.E. in Computer Engineering. Mr. Girouard also holds an M.B.A. from the University of Michigan with High Distinction.</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Mr. Girouard was selected to serve on our Board because of the perspective and experience he brings as our Chief Executive Officer and as one of our co-founders, as well as his extensive experience with technology companies.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82"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Paul Gu</w:t>
      </w:r>
      <w:r>
        <w:rPr>
          <w:rFonts w:ascii="Times New Roman" w:cs="Times New Roman" w:eastAsia="Times New Roman" w:hAnsi="Times New Roman"/>
          <w:sz w:val="18"/>
          <w:szCs w:val="18"/>
          <w:color w:val="auto"/>
        </w:rPr>
        <w:t>. Mr. Gu is one of our co-founders and has served in various roles since April 2012, including most recently as our Chief Technology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has also served as a member of our Board since April 2015. Mr. Gu studied economics and computer science at Yale University and then joined the Thiel Fellowship.</w:t>
      </w:r>
    </w:p>
    <w:p>
      <w:pPr>
        <w:spacing w:after="0" w:line="175"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Mr. Gu was selected to serve on our Board because of the perspective and experience he brings as our Chief Technology Officer and as one of our co-founders, as well as his expertise in machine learning and data science.</w:t>
      </w:r>
    </w:p>
    <w:p>
      <w:pPr>
        <w:spacing w:after="0" w:line="158"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Jeff Huber</w:t>
      </w:r>
      <w:r>
        <w:rPr>
          <w:rFonts w:ascii="Times New Roman" w:cs="Times New Roman" w:eastAsia="Times New Roman" w:hAnsi="Times New Roman"/>
          <w:sz w:val="18"/>
          <w:szCs w:val="18"/>
          <w:color w:val="auto"/>
        </w:rPr>
        <w:t>. Mr. Huber has served as a member of our Board since June 2021. Mr. Huber is the co-founder of Triatomic Capital, a private investing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has served as its Managing Director since March 2022. From 2016 to 2021, Mr. Huber served as the Founding Chief Executive Officer and Vice Chairman of GRAIL, Inc., a life sciences company. From 2003 to 2016, Mr. Huber served as Senior Vice President of Alphabet Inc. (formerly Google Inc.). From 2001 to 2003, Mr. Huber served as Vice President of Architecture and Systems Development at eBay Inc., an e-commerce company. Prior to joining eBay, he was Senior Vice President of Engineering at Excite@Home. Mr. Huber is a board member of Electronic Arts Inc. Mr. Huber holds a B.S. in Computer Engineering from the University of Illinois and an M.B.A. from Harvard Business School.</w:t>
      </w:r>
    </w:p>
    <w:p>
      <w:pPr>
        <w:spacing w:after="0" w:line="186"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Mr. Huber was selected to serve on our Board because of his extensive experience as an executive in online companies that apply rapidly changing technology and operate at high scale.</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Hilliard Terry, III. </w:t>
      </w:r>
      <w:r>
        <w:rPr>
          <w:rFonts w:ascii="Times New Roman" w:cs="Times New Roman" w:eastAsia="Times New Roman" w:hAnsi="Times New Roman"/>
          <w:sz w:val="18"/>
          <w:szCs w:val="18"/>
          <w:color w:val="auto"/>
        </w:rPr>
        <w:t>Mr. Terry has served as a member of our Board since February 2019. Mr. Terry has served as an advisor and interim CEO to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equity-backed portfolio companies. From January 2012 to October 2018, he served as Executive Vice President and Chief Financial Officer of Textainer Group Holdings Limited, an intermodal marine container management and leasing company. Before joining Textainer, Mr. Terry was Vice President and Treasurer of Agilent Technologies, Inc., which he joined in 1999, prior to the company’s spinoff from Hewlett-Packard Company and initial public offering. He previously held positions in investor relations and/or investment banking with Kenetech Corporation, an alternative energy company; VeriFone, Inc., a payments company; and Goldman Sachs &amp; Co., a financial services firm. Mr. Terry is currently a director of Asbury Automotive Group, Inc., an automotive retailer, where he chairs the audit committee and serves on the capital allocation &amp; risk management committee, and is also a director of Columbia Banking System, Inc., a bank holding company, where he chairs the compensation committee and serves on the nominating &amp; governance committee. In addition, Mr. Terry serves as a director of two private companies: Fabletics, Inc., an active-wear retailer, and Fundbox, Ltd., a financial platform for small businesses. Mr. Terry holds a B.A. in Economics from the University of California, Berkeley and an M.B.A. from Golden Gate University.</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Terry was selected to serve on our Board because of his financial expertise and experience in the banking industry.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Nasdaq rules, independent directors must comprise a majority of a listed company’s board of directors. In addition, the Nasdaq rules require that, subject to specified exceptions, each member of a listed company’s audit and compensation committees be independent. Audit committee members must also satisfy the independence criteria set forth in Rule 10A-3 under the Exchange Act and compensation committee members must also satisfy the additional independence criteria set forth in Rule 10C-1 under the Exchange Act. Under the Nasdaq rules, a director will only qualify as an “independent director” if, in the opinion of the company’s board of directors, the director does not have any relationship that would interfere with the exercise of independent judgment in carrying out the responsibilities of a director.</w:t>
      </w:r>
    </w:p>
    <w:p>
      <w:pPr>
        <w:spacing w:after="0" w:line="18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Board has undertaken a review of its composition, the composition of its committees and the independence of our directors. Based upon information provided by each director concerning his or her background, employment and affiliations, including family relationships, our Board has determined that Peter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Bernard, Kerry Cooper, Mary Hentges, Jeff Huber, Ciaran O’Kelly and Hilliard Terry, III do not have a relationship that would interfere with the exercise of independent judgment in carrying out the responsibilities of a director and that each of these directors is “independent” as that term is defined under the Nasdaq listing standards. Our Board also determined that the members of our audit committee, compensation committee and nominating and corporate governance committee satisfy the relevant independence standards for the committees on which they serve as established by applicable SEC rules and the Nasdaq rules.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and the transactions involving them described in the section 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Dave Girouard, our co-founder and current Chief Executive Officer, serves as Chairperson of our Board. As Chairperson, Mr. Girouard presides over meetings of our Board, and holds such other powers and carries out such other duties as are customarily carried out by the Chairperson of the Board. Our independent directors bring experience, oversight and expertise from outside of our company, while Mr. Girouard and Mr. Gu each brings company-specific experience, leadership and insight as our co-founders and Chief Executive Officer and Chief Technology Officer, respectively. Effective May 1, 2026, Mr.Girouard will step down as Chief Executive Officer and transition to Executive Chairman of the Board; at that time, Mr. Gu will assume the Chief Executive Officer role.</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Board has adopted corporate governance guidelines that provide that one of our independent directors should serve as our Lead Independent Director if the Chairperson of the Board is not independent. Our Board has appointed Kerry Cooper to serve as our Lead Independent Director. The Board believes that from Ms. Cooper’s extensive experience as an executive in the consumer space, as well as her experience as a board member of other public companies, she brings abundant leadership expertise, governance prowess and business acumen that helps ensure strong and independent oversight and effective collaboration among the directors.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further promote independent leadership, the primary responsibilities of the Lead Independent Director are as follows:</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over periodic meetings of our independent directors and executive sessions at Board meetings;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chairing Board meetings in the absence of the Chairperson of the Board or when it is deemed appropriate arising from the Chairperson’s management role or non-independence;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liaison between our Chairperson and our independent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and facilitating communication between management and the Board and among directors;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collaboration with management, developing agendas for the Board meetings and communicating with other independent directors to ensure topics of interest are included;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Board in communications with shareholders and other stakeholders as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input on the review of the Board’s leadership structure and its appropriateness;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additional duties as our Board may otherwise determine and delegate.</w:t>
      </w:r>
    </w:p>
    <w:p>
      <w:pPr>
        <w:spacing w:after="0" w:line="225"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Board believes that this structure is effective in serving stockholders, as it offers independent leadership and engagement from the Lead Independent Director, while providing the benefit of having our Chief Executive Officer, the individual with primary responsibility for managing the company’s day-to-day operations, chair regular Board meetings as key business and strategic issues are discussed.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21"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our Board held five meetings (including regularly scheduled and special meetings). Each director attended 75% or more of the total number of meetings of the Board and the committees of which he or she was a member held during the portion of the last fiscal year for which he or she was a director or committee member.</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While we do not have a formal policy requiring director attendance, we encourage our directors to attend our annual meetings of stockholders. All of our directors who then served on our Board attended the 2025 annual meeting of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nominating and corporate governance committee. The composition and responsibilities of each of the committees of our Board is described below. Members serve on these committees until their resignation or until otherwise determined by our Board.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audit committee consists of Hilliard Terry, III, Mary Hentges, and Ciaran O’Kelly with Mr. Terry serving as Chairperson, each of whom meets the requirements for independence under the listing standards of the Nasdaq and SEC rules and regulations. Each member of our audit committee also meets the financial literacy and sophistication requirements of the Nasdaq listing standards. In addition, our Board has determined that Ms. Hentges and Mr. Terry are both audit committee financial experts within the meaning of Item 407(d) of Regulation S-K. Our audit committee, among other things:</w:t>
      </w:r>
    </w:p>
    <w:p>
      <w:pPr>
        <w:spacing w:after="0" w:line="8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a qualified firm to serve as the independent registered public accounting firm to audit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to ensure the independence and performance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the scope and results of the audit with the independent registered public accounting firm, and reviews, with management and the independent registered public accounting firm, our interim and year-end results of operation;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policies on risk assessment and risk management, including with respect to cybersecurity;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related party transactions;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or, as required, pre-approves, all audit and all permissible non-audit services, other than de minimis non-audit services, to be performed by the independent registered public accounting firm.</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rules and regulations of the SEC and the listing standards of the Nasdaq. A copy of the charter for our audit committee is available on our website at ir.upstart.com. During the fiscal year ended December 31, 2025, our audit committee held six meetings.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currently consists of Kerry Cooper and Peter Bernard, with Ms. Cooper serving as Chairperson. Each of Ms. Cooper and Mr. Bernard meets the requirements for independence under the Nasdaq listing standards and SEC rules and regulations. Each member of our compensation committee is also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non-employee director, as defined pursuant to Rule 16b-3 promulgated under the Exchange Act, or Rule 16b-3. Our compensation committee, among other things:</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approves, and determines, or makes recommendations to our Board regarding, the compensation of our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our equity compensation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and makes recommendations to our Board regarding incentive compensation and equity compensation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periodically reviews policies and programs relating to compensation and benefits of our employees and executives;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oversees succession planning for executive officers, including Chief Executive Officer succession planning.</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compensation committee has engaged an independent consultant, Compensia, Inc. (“Compensia”) to advise the compensation committee on an as-needed basis with respect to executive and non-employee director compensation matters. Compensia does not provide services to Upstart and management and reports directly to the compensation committee. For further information on the processes followed by the compensation committee for the consideration and determination of executive compensation, see the section titled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and regulations of the SEC and the Nasdaq listing standards. A copy of the charter for our compensation committee is available on our website at ir.upstart.com. During the fiscal year ended December 31, 2025, our compensation committee held six meetings.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Ciaran O’Kelly, Jeff Huber and Peter Bernard, with Mr. O’Kelly serving as Chairperson, each of whom meets the requirements for independence under the Nasdaq listing standards and SEC rules and regulations. Our nominating and corporate governance committee, among other things:</w:t>
      </w:r>
    </w:p>
    <w:p>
      <w:pPr>
        <w:spacing w:after="0" w:line="81" w:lineRule="exact"/>
        <w:rPr>
          <w:sz w:val="20"/>
          <w:szCs w:val="20"/>
          <w:color w:val="auto"/>
        </w:rPr>
      </w:pPr>
    </w:p>
    <w:p>
      <w:pPr>
        <w:ind w:left="1080" w:right="8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selects, or makes recommendations to our Board regarding, nominees for election to our Board and its committees;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and makes recommendations to our Board regarding the composition of our Board and its committees;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Board and of individual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environmental and corporate social responsibility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developments in corporate governance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adequacy of our corporate governance practices and reporting;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and makes recommendations to our Board regarding corporate governance guidelines and matters.</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Nasdaq listing standards. A copy of the charter for our nominating and corporate governance committee is available on our website at ir.upstart.com. During the fiscal year ended December 31, 2025, our nominating and corporate governance committee held four meetings.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82"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None of the members of our compensation committee is or has been an executive officer or employee of our company. None of our executive officers currently serves, or in the past fiscal year has served, as a member of the Board or compensation committee (or other board committee performing equivalent functions) of any entity that has one or more of its executive officers serving on our Board or on our compensation committee.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our Board in Risk Oversight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Risk is inherent in every business, and we face a number of risks, including strategic, financial, operational, technology and security, legal and compliance, and reputational risks. We have designed and implemented processes to manage risk in our business and operations. Management is responsible for the day-to-day identification, assessment and management of all material risks. Our functional teams, including Risk, Finance, People, Information Security, Information Technology and Legal, are responsible for the day-to-day monitoring, mitigation and reporting of the respective risk types that arise related to each functional team’s activities. From time to time, we engage professional services firms to independently assess our risk management activities and advise on emerging trends and benchmarking data in various risk areas. Management provides reports on all material risks to the Board and its committees, as appropriate.</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both directly and through its committees, has responsibility for the oversight of our risk management framework, which is designed to identify, assess, monitor, and manage risks to which our company is exposed over the short-, intermediate- and long-term. Consistent with this approach, our Board regularly reviews our material risks throughout the year in the context of discussions with management, question and answer sessions, and reports from the management team presented at each regular board meeting. Our Board also evaluates the risks inherent in significant transactions. For certain risks, we may apply a longer term view to monitoring, evaluating and mitigating risks based on input from our internal functional teams and external advisors with respect to their impact on our business.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our Board has tasked designated standing committees with oversight of certain categories of risk management to align the committees’ areas of expertise with certain key risk areas. Our audit committee assists our Board in fulfilling its oversight responsibilities with respect to risk management, including in the areas of internal control over financial reporting and disclosure controls and procedures, as well as legal and regulatory compliance and potential conflicts of interest. The audit committee also oversees our risk management program, as well as our initiatives related to cybersecurity. Furthermore, our audit committee, among other things, discusses with management and the independent auditor guidelines and policies with respect to risk assessment and risk management. Our compensation committee assesses risks relating to our executive compensation plans and arrangements as well as employee compensation policies and practices. Our nominating and corporate governance committee assesses risks relating to our corporate governance practices and the independence of the Board. Each of the committee chairs report to the full Board at its regular meetings concerning the activities of the committee, the significant issues the committee has discussed and the actions taken by the committee.</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Board believes its current leadership structure supports the risk oversight function of the Board. With Mr. Girouard, our Chief Executive Officer, serving as the Chairperson of the Board, we promote open dialogue between management and the Board. Ms. Cooper, as our Lead Independent Director, will offer independent leadership at the Board level in addition to Mr. Girouard. Each Board committee is comprised solely of independent directors, and all directors are actively involved in the risk oversight function.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and Board Committee Self-Evaluation Process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Board and committee evaluations play a critical role in ensuring the effective functioning of our Board and its committees. Our Board annually evaluates the performance of individual directors, the Board as a whole and each of the board’s standing committees. As part of the self-assessment process, directors are provided with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questionnaires and participate in a guided, interview-based self-evaluation designed to offer a thoughtful reflection on the Board and its committees’ performance. As set forth in its charter, the nominating and corporate governance committee oversees this self-evaluation process. The nominating and corporate governance committee reviews the directors’ feedback and considers whether changes are recommended and reports the results to the Board.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Board and our nominating and corporate governance committee regularly review the composition of the Board and use a variety of methods for identifying and evaluating potential directors whose perspectives, skills and experiences will enable them to make meaningful contributions to shaping the future of our company. In their evaluation of director candidates, they will consider the current size and composition of the Board and the needs of the Board and the respective committees of the Board. Some of the qualifications that are considered include, without limitation, professional ethics and integrity, judgment, business acumen, proven achievement and competence in one’s field, the ability to exercise sound business judgment, tenure on the Board and skills that are complementary to the Board, an understanding of the Company’s business, an understanding of the responsibilities that are required of a member of the Board, other commitments, including service on other for-profit company boards of directors and related committees, diversity with respect to professional background, education, race, ethnicity, gender, age and geography, as well as other individual qualities and attributes that contribute to the total mix of viewpoints and experience represented on the Board. Other than the foregoing, there are no stated minimum criteria for director nominees.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Diversity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the Board does not maintain a specific policy with respect to board diversity, the Board believes that the board should be a diverse body, and the nominating and corporate governance committee considers a broad range of perspectives, backgrounds and experiences. In making determinations regarding nominations of directors, the nominating and corporate governance committee may take into account the benefits of diverse viewpoints.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82"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Director Skills and Experiences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has determined that it is important for an effective Board to have directors with a balance of the skills and experiences set forth in the table below. While all of these skills and experiences are considered by the nominating and corporate governance committee with respect to each director, the following table does not encompass all of the experience, qualifications, attributes or skills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142875</wp:posOffset>
            </wp:positionV>
            <wp:extent cx="4989195" cy="2768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8919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our Board</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candidates for directors recommended by stockholders so long as such recommendations comply with the certificate of incorporation and bylaws of our company and applicable laws, rules and regulations, including those promulgated by the SEC. The committee will evaluate such recommendations in accordance with its charter, our bylaws and the regular nominee criteria described above. This process is designed to ensure that the Board includes members with diverse backgrounds, skills and experiences, including appropriate financial and other expertise relevant to our business. Eligible stockholders wishing to recommend a candidate for nomination should contact our corporate secretary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among other required information. The committee has discretion to decide which individuals to recommend for nomination as directors.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stockholder of record can nominate a candidate directly for election to the Board by complying with the requirements and procedures set forth in Section 2.4 of our bylaws. For additional information regarding stockholder nominations of director candidates, see the section titled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Information—What is the deadline to propose actions for consideration at next year’s annual meeting of stockholders or to nominate individuals to serve as directors?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believes it is important to maintain an open dialogue with stockholders to understand their views on our company, our strategy and our governance and compensation practices. Accordingly, we engage with stockholders regularly and solicit feedback on these topics. In 2025 we reached out to our top 15 institutional stockholders representing an aggregate ownership of approximately 22% of our then-outstanding shares and held meetings with those that accepted our invitation for a discussion. Members of our senior management met with these investors in December of 2025 and January of 2026 to discuss executive compensation, corporate governance, and other matters.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these discussions, stockholders emphasized the importance of strong alignment between executive compensation and long-term stockholder value creation, and this feedback informed the compensation committee’s continued evaluation of our long-term incentive program, including the introduction of performance-based RSU awards in 2026. A number of our largest stockholders declined our invitation for a discussion due to a lack of questions or concerns. Overall, the stockholders we engaged with expressed support for our strategy, and compensation and governance practices. For additional information regarding stockholder feedback regarding compensation matters, see the section titled “</w:t>
      </w:r>
      <w:r>
        <w:rPr>
          <w:rFonts w:ascii="Times New Roman" w:cs="Times New Roman" w:eastAsia="Times New Roman" w:hAnsi="Times New Roman"/>
          <w:sz w:val="18"/>
          <w:szCs w:val="18"/>
          <w:i w:val="1"/>
          <w:iCs w:val="1"/>
          <w:color w:val="auto"/>
        </w:rPr>
        <w:t>Executive Compensation—Compensation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Analysis—Stockholder Advisory Votes on Named Executive Officer Compensation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as well as our management team, values the perspectives of our investors as it helps us to understand and evaluate the effectiveness of our current practices and related disclosures. In addition to our annual stockholder outreach on governance and compensation practices, we maintain ongoing dialogue with many of our stockholders through our investor relations program.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our Board</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Stockholders and interested parties wishing to communicate with a non-management member of our Board may do so by writing to such director and either mailing the correspondence to: Upstart Holdings, Inc., Attention: Corporate Secretary, 2950 S. Delaware Street, Suite 410, San Mateo, California 94403 or sending the correspondence by email to corporate_secretary@upstart.com. Each communication should set forth (i) the name and address of the stockholder, as it appears on our books, and if the shares of our common stock are held by a broker or other nominee, the name and address of the beneficial owner of such shares, and (ii) the class and number of shares of our common stock that are owned of record by the record holder and beneficially by the beneficial owner. All such communications will be reviewed by Upstart’s Corporate Secretary and forwarded as appropriate to the relevant committee of the Board, or if none is specified, to the Lead Independent Director of the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Board, through the nominating and corporate governance committee, oversees matters related to corporate social responsibility. Information regarding our corporate social responsibility programs and initiatives is available on our Investor Relations website at ir.upstart.com. The contents posted on our Investor Relations website are not incorporated by reference into this proxy statement.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Ethics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Board has adopted corporate governance guidelines. These guidelines address, among other items, the responsibilities of our directors, the structure and composition of our Board and corporate governance policies and standards applicable to us in general. In addition, our Board has adopted a code of ethics that applies to all of our employees, officers and directors, including our Chief Executive Officer, Chief Financial Officer and other executive and senior officers. Our corporate governance guidelines and code of ethics are available on our website at ir.upstart.com. We intend to disclose any amendments to our code of ethics or waivers of its requirements, on our website or in filings under the Exchange Act.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120" w:right="280" w:firstLine="440"/>
        <w:spacing w:after="0" w:line="277" w:lineRule="auto"/>
        <w:rPr>
          <w:sz w:val="20"/>
          <w:szCs w:val="20"/>
          <w:color w:val="auto"/>
        </w:rPr>
      </w:pPr>
      <w:r>
        <w:rPr>
          <w:rFonts w:ascii="Times New Roman" w:cs="Times New Roman" w:eastAsia="Times New Roman" w:hAnsi="Times New Roman"/>
          <w:sz w:val="17"/>
          <w:szCs w:val="17"/>
          <w:color w:val="auto"/>
        </w:rPr>
        <w:t>The Company has adopted an insider trading policy that governs the purchase, sale, and other dispositions of the Company’s securities by directors, officers, and employees, and other covered persons that the Company believes is reasonably designed to promote compliance with insider trading laws, rules and regulations, and applicable stock exchange listing requirements. A copy of the Company’s insider trading policy was filed as Exhibit 19.1 to the Company’s Annual Report on Form 10-K for the fiscal year ended December 31, 2025. In addition, with regard to the Company’s trading in its own securities, it is the Company’s policy to comply with the federal securities laws and the applicable exchange listing requirements.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that the executive officers and non-employee directors should hold meaningful equity ownership positions in the Company to align their interests with the interests of the Company’s stockholders. Pursuant to the Company’s Stock Ownership Guidelines, our executive officers (defined for purposes of the guidelines as each “officer” of the Company subject to Section 16 of the Exchange Act) and non-employee directors are expected to hold a number of shares of the Company’s common stock with a value equivalent to at least the following:</w:t>
      </w:r>
    </w:p>
    <w:p>
      <w:pPr>
        <w:spacing w:after="0" w:line="8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Chief Executive Officer: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five times annual base salary</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4"/>
              </w:rPr>
              <w:t>Other Executive Officers: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two times annual base salary</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3"/>
              </w:rPr>
              <w:t>Non-Employee Directors: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three times annual base cash retainer</w:t>
            </w:r>
          </w:p>
        </w:tc>
      </w:tr>
    </w:tbl>
    <w:p>
      <w:pPr>
        <w:spacing w:after="0" w:line="19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executive officers and non-employee directors have a period of five years (running through the later of January 1, 2028 or the five-year anniversary of the date that the applicable individual becomes an executive officer or non-employee director) to comply with the Stock Ownership Guidelines, although either our Board or the nominating and corporate governance committee may extend the period of time for attainment. The level of ownership will be measured annually by the nominating and corporate governance committee at the end of each fiscal year following the effective date (the date of such review, a “measurement date”). For purposes of this review, an individual’s annual base salary or the value of his or her annual base cash retainer is determined as of the last trading day of the Company’s fiscal year prior to the applicable measurement date, and the value of equity ownership will be determined based on the value of a share of the Company’s common stock measured as the greater of (i) the average closing price of a share over the sixty trading day period ending on the last trading day of such fiscal year, (ii) the average closing price of a share of the Company’s common stock over the sixty trading day period ending on the date the individual becomes subject to the Stock Ownership Guidelines, or (iii) the average closing price of a share of the Company’s common stock over the sixty trading day period ending on the date the share was acquired. Each executive officer or non-employee director is expected to maintain the level of ownership during his or her tenure as an executive officer or non-employee director, respectively.</w:t>
      </w:r>
    </w:p>
    <w:p>
      <w:pPr>
        <w:spacing w:after="0" w:line="19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shares of the Company’s common stock directly owned, the shares of the Company’s common stock held in trust, limited partnerships, or similar entities for the benefit of the applicable executive officer or non-employee director and/or his or her immediate family members, and the shares of the Company’s common stock subject to restricted stock units or other full-value awards that have vested count toward the satisfaction of the level of ownership under the Stock Ownership Guidelines. Unexercised stock options and shares of the Company’s common stock underlying full-value awards that are unvested (including with respect to either service-based or performance-based vesting criteria) do not count towards satisfaction of the Stock Ownership Guidelines.</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To satisfy the Stock Ownership Guidelines, any executive officer or non-employee director who has not reached or who fails to maintain his or her target ownership level must retain at least fifty percent of any Net Shares derived from full-value awards, exercised stock options or stock purchase plan holdings until his or 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guideline is met. “Net Shares” are those shares of the Company’s common stock that remain after shares are sold or withheld to pay the exercise price (if any) of equity awards and applicable taxes. On the subsequent measurement date on which an executive officer or non-employee director comes into compliance with the Stock Ownership Guidelines, the holding restrictions will be lifted.</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Stock Ownership Guidelines may be waived, at the discretion of the nominating and corporate governance committee, for non-employee directors joining the Board from government, academia, or similar professions. The Stock Ownership Guidelines may also be temporarily suspended for one or more executive officers or non-employee directors, at the discretion of the nominating and corporate governance committee, if compliance would create severe hardship or prevent an executive officer or non-employee director from complying with a court order.</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Board or the nominating and corporate governance committee may amend the Stock Ownership Guidelines at any time and from time to time in their sole discretion.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Our Board has adopted a compensation policy for our non-employee directors (the “Outside Director Compensation Policy”). Under this policy, each non-employee director receives the cash and equity compensation for board services described below. We also reimburse our non-employee directors for reasonable, customary and documented travel expenses to Board or committee meetings. This policy was developed with input from our independent compensation consultant, Compensia, regarding practices and compensation levels at comparable companies. It is designed to provide a total compensation package that enables us to attract and retain qualified and experienced individuals to serve as directors and to align our directors’ interests with those of our stockholders.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Outside Director Compensation Policy contemplates both cash and equity components. The policy includes a maximum annual limit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$1,000,000 of cash compensation and equity awards that may be paid, issued, or granted to a non-employee director in any fiscal year, increased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$2,000,000 in an individual’s first year of service as a non-employee director. For purposes of this limitation, the value of equity awards is based 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 date fair value (determined in accordance with U.S. generally accepted accounting principles (“GAAP”)). Any cash compensation paid or equity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awards granted to a person for their services as an employee, or for their services as a consultant (other than as a non-employee director), will not count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limitation. The maximum limit does not reflect the intended size of any potential compensation or equity awards to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non-employee directors.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review the Outside Director Compensation Policy annually and make amendments as needed, which Compensia also advises 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21" w:lineRule="exact"/>
        <w:rPr>
          <w:sz w:val="20"/>
          <w:szCs w:val="20"/>
          <w:color w:val="auto"/>
        </w:rPr>
      </w:pPr>
    </w:p>
    <w:p>
      <w:pPr>
        <w:ind w:left="120" w:right="1040" w:firstLine="440"/>
        <w:spacing w:after="0" w:line="282" w:lineRule="auto"/>
        <w:rPr>
          <w:sz w:val="20"/>
          <w:szCs w:val="20"/>
          <w:color w:val="auto"/>
        </w:rPr>
      </w:pPr>
      <w:r>
        <w:rPr>
          <w:rFonts w:ascii="Times New Roman" w:cs="Times New Roman" w:eastAsia="Times New Roman" w:hAnsi="Times New Roman"/>
          <w:sz w:val="18"/>
          <w:szCs w:val="18"/>
          <w:color w:val="auto"/>
        </w:rPr>
        <w:t>Each non-employee director is entitled to receive the following cash compensation for his or her services under the Outside Director Compensation Policy:</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 per year for service as a board member;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per year for service as non-employee chair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per year for service as a lead independent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a member of the audit committee;</w:t>
      </w:r>
    </w:p>
    <w:p>
      <w:pPr>
        <w:spacing w:after="0" w:line="130" w:lineRule="exact"/>
        <w:rPr>
          <w:rFonts w:ascii="Times New Roman" w:cs="Times New Roman" w:eastAsia="Times New Roman" w:hAnsi="Times New Roman"/>
          <w:sz w:val="18"/>
          <w:szCs w:val="18"/>
          <w:color w:val="auto"/>
        </w:rPr>
      </w:pPr>
    </w:p>
    <w:p>
      <w:pPr>
        <w:ind w:left="5540" w:right="5060" w:hanging="4884"/>
        <w:spacing w:after="0" w:line="367" w:lineRule="auto"/>
        <w:tabs>
          <w:tab w:leader="none" w:pos="109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$15,000 per year for service as chair of the compensation committee; 20</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a member of the 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nominating and corporate governance committee;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per year for service as a member of the nominating and corporate governance committee.</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non-employee director who serves as the chair of a committee receives only the additional annual cash fee as the chair of the committee, and not the annual fee as a member of the committee, provided that each non-employee director who serves as the non-employee chair or the lead independent director will receive the annual fee for service as a board member and an additional annual fee as the non-employee chair or lead independent director. All cash payments to non-employee directors are paid annually in arrears on a prorated basis.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Election to Receive Restricted Stock Units in lieu of Cash Compensation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Each non-employee director may elect to convert all or a portion of his or her annual cash retainer payments into an award covering a number of restricted stock units (“RSUs”) (a “Retainer Award”) with a grant date fair value (determined in accordance with GAAP) equal to the amount of the applicable annual cash retainer payment to which the Retainer Award relates.</w:t>
      </w:r>
    </w:p>
    <w:p>
      <w:pPr>
        <w:spacing w:after="0" w:line="176"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Each individual who first becomes a non-employee director must make an election to receive Retainer Awards in lieu of cash payments (a “Retainer RSU Election”) with respect to annual cash retainer payments relating to services to be performed in the same calendar year as such individual first becomes a non-employee director on or prior to the date that the individual first becomes a nonemployee director. Each non-employee director must make a Retainer RSU Election with respect to annual cash retainer payments relating to services to be performed in the following calendar year by no later than December 31 of each calendar year, or such earlier deadline as established by our Board or the compensation committee of our Board.</w:t>
      </w:r>
    </w:p>
    <w:p>
      <w:pPr>
        <w:spacing w:after="0" w:line="16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 non-employee director who has made a valid Retainer RSU Election ceases to be a non-employee director prior to the applicable grant date of a Retainer Award to which the Retainer RSU Election relates, the Retainer RSU Election will be treated as canceled and the non-employee director will be eligible to receive a prorated payment of the annual payment of the non-employee director’s applicable annual cash retainer, calculated based on the number of days during the applicable calendar year the non-employee director served in the relevant capacities, in accordance with the terms and conditions of the policy.</w:t>
      </w:r>
    </w:p>
    <w:p>
      <w:pPr>
        <w:spacing w:after="0" w:line="183"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Retainer Awards are granted on January 10 immediately following the end of the calendar year for which the corresponding annual cash retainer payment was earned, except that if such date is not a trading day, the associated grant of the applicable Retainer Award shall occur on the next trading day following such date. Each Retainer Award will be fully vested on the date of grant.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Initial Awards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Subject to the limits in our 2020 Equity Incentive Plan, each person who first becomes a non-employee director will receive, on the first trading date on or after the date on which the person first becomes a non-employee director, an initial award of RSUs (the “Initial Award”), covering a number of shares of our common stock having a grant date fair value equal to $200,000; provided that any resulting fraction will be rounded down to the nearest whole share. The Initial Award will vest in its entirety on the one-year anniversary of the non-employee director’s initial start date, subject to the non-employee director continuing to be a non-employee director through the applicable vesting date. If the person was a member of our Board and also an employee, becoming a non-employee director due to termination of employment will not entitle them to an Initial Award.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Awards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limits in our 2020 Equity Incentive Plan, each non-employee director automatically receives, on the date of each annual meeting of our stockholders, an annual award of RSUs (an “Annual Award”) covering a number of shares of our common stock having a grant date fair value of $200,000; provided that the first annual award granted to an individual who first becomes a non-employee director following the effective date of the policy will have a grant date fair value equal to the product of (A) $200,000 multiplied by (B) a fraction, (i) the numerator of which is equal to the number of fully completed days between the non-employee director’s initial start date and the date of the first annual meeting of our stockholders to occur after such individual first becomes a non-employee director, and (ii) the denominator of which is 365; and provided further that any resulting fraction will be rounded down to the nearest whole share. Each Annual Award will vest in its entirety on the earlier of (x) the one-year anniversary of the Annual Award’s grant date, or (y) the day immediately before the date of the next annual meeting of our stockholders that follows the grant date of the Annual Award, subject to the non-employee director’s continued service through the applicable vesting date.</w:t>
      </w:r>
    </w:p>
    <w:p>
      <w:pPr>
        <w:spacing w:after="0" w:line="188"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In the event of a “change in control” (as defined in our 2020 Equity Incentive Plan), each non-employee director will fully vest in their outstanding company equity awards issued under the Outside Director Compensation Policy, including any Initial Award or Annual Award, immediately prior to the consummation of the change in control provided that the non-employee director continues to be a non-employee director through such date.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Table</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paid to Messrs. Girouard and Gu in respect of their employment for the year ended December 31, 2025 is included in the Summary Compensation Table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The following table provides information concerning compensation earned by our non-employee directors during the year ended December 31, 2025.</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6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 in Cash ($)</w:t>
            </w:r>
            <w:r>
              <w:rPr>
                <w:rFonts w:ascii="Times New Roman" w:cs="Times New Roman" w:eastAsia="Times New Roman" w:hAnsi="Times New Roman"/>
                <w:sz w:val="10"/>
                <w:szCs w:val="10"/>
                <w:b w:val="1"/>
                <w:bCs w:val="1"/>
                <w:color w:val="auto"/>
              </w:rPr>
              <w:t>(1)</w:t>
            </w:r>
          </w:p>
        </w:tc>
        <w:tc>
          <w:tcPr>
            <w:tcW w:w="11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Awards ($)</w:t>
            </w:r>
            <w:r>
              <w:rPr>
                <w:rFonts w:ascii="Times New Roman" w:cs="Times New Roman" w:eastAsia="Times New Roman" w:hAnsi="Times New Roman"/>
                <w:sz w:val="10"/>
                <w:szCs w:val="10"/>
                <w:b w:val="1"/>
                <w:bCs w:val="1"/>
                <w:color w:val="auto"/>
              </w:rPr>
              <w:t>(2)</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40" w:type="dxa"/>
            <w:vAlign w:val="bottom"/>
            <w:tcBorders>
              <w:top w:val="single" w:sz="8" w:color="BAD8EB"/>
              <w:bottom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Peter Bernard</w:t>
            </w:r>
          </w:p>
        </w:tc>
        <w:tc>
          <w:tcPr>
            <w:tcW w:w="280" w:type="dxa"/>
            <w:vAlign w:val="bottom"/>
            <w:tcBorders>
              <w:top w:val="single" w:sz="8" w:color="BAD8EB"/>
              <w:bottom w:val="single" w:sz="8" w:color="BAD8EB"/>
            </w:tcBorders>
            <w:shd w:val="clear" w:color="auto" w:fill="BAD8EB"/>
          </w:tcPr>
          <w:p>
            <w:pPr>
              <w:spacing w:after="0"/>
              <w:rPr>
                <w:sz w:val="21"/>
                <w:szCs w:val="21"/>
                <w:color w:val="auto"/>
              </w:rPr>
            </w:pPr>
          </w:p>
        </w:tc>
        <w:tc>
          <w:tcPr>
            <w:tcW w:w="1660" w:type="dxa"/>
            <w:vAlign w:val="bottom"/>
            <w:tcBorders>
              <w:top w:val="single" w:sz="8" w:color="auto"/>
              <w:bottom w:val="single" w:sz="8" w:color="BAD8EB"/>
            </w:tcBorders>
            <w:shd w:val="clear" w:color="auto" w:fill="BAD8EB"/>
          </w:tcPr>
          <w:p>
            <w:pPr>
              <w:jc w:val="right"/>
              <w:ind w:right="482"/>
              <w:spacing w:after="0"/>
              <w:rPr>
                <w:sz w:val="20"/>
                <w:szCs w:val="20"/>
                <w:color w:val="auto"/>
              </w:rPr>
            </w:pPr>
            <w:r>
              <w:rPr>
                <w:rFonts w:ascii="Times New Roman" w:cs="Times New Roman" w:eastAsia="Times New Roman" w:hAnsi="Times New Roman"/>
                <w:sz w:val="18"/>
                <w:szCs w:val="18"/>
                <w:color w:val="auto"/>
              </w:rPr>
              <w:t>39,286</w:t>
            </w:r>
          </w:p>
        </w:tc>
        <w:tc>
          <w:tcPr>
            <w:tcW w:w="260" w:type="dxa"/>
            <w:vAlign w:val="bottom"/>
            <w:tcBorders>
              <w:top w:val="single" w:sz="8" w:color="BAD8EB"/>
              <w:bottom w:val="single" w:sz="8" w:color="BAD8EB"/>
            </w:tcBorders>
            <w:shd w:val="clear" w:color="auto" w:fill="BAD8EB"/>
          </w:tcPr>
          <w:p>
            <w:pPr>
              <w:spacing w:after="0"/>
              <w:rPr>
                <w:sz w:val="21"/>
                <w:szCs w:val="21"/>
                <w:color w:val="auto"/>
              </w:rPr>
            </w:pPr>
          </w:p>
        </w:tc>
        <w:tc>
          <w:tcPr>
            <w:tcW w:w="920" w:type="dxa"/>
            <w:vAlign w:val="bottom"/>
            <w:tcBorders>
              <w:top w:val="single" w:sz="8" w:color="auto"/>
              <w:bottom w:val="single" w:sz="8" w:color="BAD8EB"/>
            </w:tcBorders>
            <w:shd w:val="clear" w:color="auto" w:fill="BAD8EB"/>
          </w:tcPr>
          <w:p>
            <w:pPr>
              <w:ind w:left="120"/>
              <w:spacing w:after="0"/>
              <w:rPr>
                <w:sz w:val="20"/>
                <w:szCs w:val="20"/>
                <w:color w:val="auto"/>
              </w:rPr>
            </w:pPr>
            <w:r>
              <w:rPr>
                <w:rFonts w:ascii="Times New Roman" w:cs="Times New Roman" w:eastAsia="Times New Roman" w:hAnsi="Times New Roman"/>
                <w:sz w:val="18"/>
                <w:szCs w:val="18"/>
                <w:color w:val="auto"/>
              </w:rPr>
              <w:t>300,295</w:t>
            </w:r>
          </w:p>
        </w:tc>
        <w:tc>
          <w:tcPr>
            <w:tcW w:w="200" w:type="dxa"/>
            <w:vAlign w:val="bottom"/>
            <w:tcBorders>
              <w:top w:val="single" w:sz="8" w:color="BAD8EB"/>
              <w:bottom w:val="single" w:sz="8" w:color="BAD8EB"/>
            </w:tcBorders>
            <w:shd w:val="clear" w:color="auto" w:fill="BAD8EB"/>
          </w:tcPr>
          <w:p>
            <w:pPr>
              <w:spacing w:after="0"/>
              <w:rPr>
                <w:sz w:val="21"/>
                <w:szCs w:val="21"/>
                <w:color w:val="auto"/>
              </w:rPr>
            </w:pPr>
          </w:p>
        </w:tc>
        <w:tc>
          <w:tcPr>
            <w:tcW w:w="700" w:type="dxa"/>
            <w:vAlign w:val="bottom"/>
            <w:tcBorders>
              <w:top w:val="single" w:sz="8" w:color="auto"/>
              <w:bottom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339,581</w:t>
            </w:r>
          </w:p>
        </w:tc>
        <w:tc>
          <w:tcPr>
            <w:tcW w:w="0" w:type="dxa"/>
            <w:vAlign w:val="bottom"/>
          </w:tcPr>
          <w:p>
            <w:pPr>
              <w:spacing w:after="0"/>
              <w:rPr>
                <w:sz w:val="1"/>
                <w:szCs w:val="1"/>
                <w:color w:val="auto"/>
              </w:rPr>
            </w:pPr>
          </w:p>
        </w:tc>
      </w:tr>
      <w:tr>
        <w:trPr>
          <w:trHeight w:val="297"/>
        </w:trPr>
        <w:tc>
          <w:tcPr>
            <w:tcW w:w="524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Sukhinder Singh Cassidy</w:t>
            </w:r>
            <w:r>
              <w:rPr>
                <w:rFonts w:ascii="Times New Roman" w:cs="Times New Roman" w:eastAsia="Times New Roman" w:hAnsi="Times New Roman"/>
                <w:sz w:val="26"/>
                <w:szCs w:val="26"/>
                <w:color w:val="auto"/>
                <w:vertAlign w:val="superscript"/>
              </w:rPr>
              <w:t>(3)</w:t>
            </w:r>
          </w:p>
        </w:tc>
        <w:tc>
          <w:tcPr>
            <w:tcW w:w="194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rPr>
              <w:t>22,836</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w:t>
            </w:r>
          </w:p>
        </w:tc>
        <w:tc>
          <w:tcPr>
            <w:tcW w:w="0" w:type="dxa"/>
            <w:vAlign w:val="bottom"/>
          </w:tcPr>
          <w:p>
            <w:pPr>
              <w:spacing w:after="0"/>
              <w:rPr>
                <w:sz w:val="1"/>
                <w:szCs w:val="1"/>
                <w:color w:val="auto"/>
              </w:rPr>
            </w:pPr>
          </w:p>
        </w:tc>
      </w:tr>
      <w:tr>
        <w:trPr>
          <w:trHeight w:val="297"/>
        </w:trPr>
        <w:tc>
          <w:tcPr>
            <w:tcW w:w="524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Kerry Cooper</w:t>
            </w:r>
          </w:p>
        </w:tc>
        <w:tc>
          <w:tcPr>
            <w:tcW w:w="1940" w:type="dxa"/>
            <w:vAlign w:val="bottom"/>
            <w:gridSpan w:val="2"/>
            <w:shd w:val="clear" w:color="auto" w:fill="BAD8EB"/>
          </w:tcPr>
          <w:p>
            <w:pPr>
              <w:jc w:val="right"/>
              <w:ind w:right="482"/>
              <w:spacing w:after="0"/>
              <w:rPr>
                <w:sz w:val="20"/>
                <w:szCs w:val="20"/>
                <w:color w:val="auto"/>
              </w:rPr>
            </w:pPr>
            <w:r>
              <w:rPr>
                <w:rFonts w:ascii="Times New Roman" w:cs="Times New Roman" w:eastAsia="Times New Roman" w:hAnsi="Times New Roman"/>
                <w:sz w:val="18"/>
                <w:szCs w:val="18"/>
                <w:color w:val="auto"/>
              </w:rPr>
              <w:t>68,699</w:t>
            </w:r>
          </w:p>
        </w:tc>
        <w:tc>
          <w:tcPr>
            <w:tcW w:w="260" w:type="dxa"/>
            <w:vAlign w:val="bottom"/>
            <w:shd w:val="clear" w:color="auto" w:fill="BAD8EB"/>
          </w:tcPr>
          <w:p>
            <w:pPr>
              <w:spacing w:after="0"/>
              <w:rPr>
                <w:sz w:val="24"/>
                <w:szCs w:val="24"/>
                <w:color w:val="auto"/>
              </w:rPr>
            </w:pPr>
          </w:p>
        </w:tc>
        <w:tc>
          <w:tcPr>
            <w:tcW w:w="920" w:type="dxa"/>
            <w:vAlign w:val="bottom"/>
            <w:shd w:val="clear" w:color="auto" w:fill="BAD8EB"/>
          </w:tcPr>
          <w:p>
            <w:pPr>
              <w:ind w:left="120"/>
              <w:spacing w:after="0" w:line="297" w:lineRule="exact"/>
              <w:rPr>
                <w:sz w:val="20"/>
                <w:szCs w:val="20"/>
                <w:color w:val="auto"/>
              </w:rPr>
            </w:pPr>
            <w:r>
              <w:rPr>
                <w:rFonts w:ascii="Times New Roman" w:cs="Times New Roman" w:eastAsia="Times New Roman" w:hAnsi="Times New Roman"/>
                <w:sz w:val="18"/>
                <w:szCs w:val="18"/>
                <w:color w:val="auto"/>
                <w:w w:val="99"/>
              </w:rPr>
              <w:t>245,735</w:t>
            </w:r>
            <w:r>
              <w:rPr>
                <w:rFonts w:ascii="Times New Roman" w:cs="Times New Roman" w:eastAsia="Times New Roman" w:hAnsi="Times New Roman"/>
                <w:sz w:val="26"/>
                <w:szCs w:val="26"/>
                <w:color w:val="auto"/>
                <w:w w:val="99"/>
                <w:vertAlign w:val="superscript"/>
              </w:rPr>
              <w:t>(4)</w:t>
            </w:r>
          </w:p>
        </w:tc>
        <w:tc>
          <w:tcPr>
            <w:tcW w:w="200" w:type="dxa"/>
            <w:vAlign w:val="bottom"/>
            <w:shd w:val="clear" w:color="auto" w:fill="BAD8EB"/>
          </w:tcPr>
          <w:p>
            <w:pPr>
              <w:spacing w:after="0"/>
              <w:rPr>
                <w:sz w:val="24"/>
                <w:szCs w:val="24"/>
                <w:color w:val="auto"/>
              </w:rPr>
            </w:pPr>
          </w:p>
        </w:tc>
        <w:tc>
          <w:tcPr>
            <w:tcW w:w="70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314,434</w:t>
            </w:r>
          </w:p>
        </w:tc>
        <w:tc>
          <w:tcPr>
            <w:tcW w:w="0" w:type="dxa"/>
            <w:vAlign w:val="bottom"/>
          </w:tcPr>
          <w:p>
            <w:pPr>
              <w:spacing w:after="0"/>
              <w:rPr>
                <w:sz w:val="1"/>
                <w:szCs w:val="1"/>
                <w:color w:val="auto"/>
              </w:rPr>
            </w:pPr>
          </w:p>
        </w:tc>
      </w:tr>
      <w:tr>
        <w:trPr>
          <w:trHeight w:val="297"/>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Hentges</w:t>
            </w:r>
          </w:p>
        </w:tc>
        <w:tc>
          <w:tcPr>
            <w:tcW w:w="194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rPr>
              <w:t>45,000</w:t>
            </w:r>
          </w:p>
        </w:tc>
        <w:tc>
          <w:tcPr>
            <w:tcW w:w="260" w:type="dxa"/>
            <w:vAlign w:val="bottom"/>
          </w:tcPr>
          <w:p>
            <w:pPr>
              <w:spacing w:after="0"/>
              <w:rPr>
                <w:sz w:val="24"/>
                <w:szCs w:val="24"/>
                <w:color w:val="auto"/>
              </w:rPr>
            </w:pPr>
          </w:p>
        </w:tc>
        <w:tc>
          <w:tcPr>
            <w:tcW w:w="920" w:type="dxa"/>
            <w:vAlign w:val="bottom"/>
          </w:tcPr>
          <w:p>
            <w:pPr>
              <w:ind w:left="120"/>
              <w:spacing w:after="0" w:line="297" w:lineRule="exact"/>
              <w:rPr>
                <w:sz w:val="20"/>
                <w:szCs w:val="20"/>
                <w:color w:val="auto"/>
              </w:rPr>
            </w:pPr>
            <w:r>
              <w:rPr>
                <w:rFonts w:ascii="Times New Roman" w:cs="Times New Roman" w:eastAsia="Times New Roman" w:hAnsi="Times New Roman"/>
                <w:sz w:val="18"/>
                <w:szCs w:val="18"/>
                <w:color w:val="auto"/>
                <w:w w:val="99"/>
              </w:rPr>
              <w:t>241,750</w:t>
            </w:r>
            <w:r>
              <w:rPr>
                <w:rFonts w:ascii="Times New Roman" w:cs="Times New Roman" w:eastAsia="Times New Roman" w:hAnsi="Times New Roman"/>
                <w:sz w:val="26"/>
                <w:szCs w:val="26"/>
                <w:color w:val="auto"/>
                <w:w w:val="99"/>
                <w:vertAlign w:val="superscript"/>
              </w:rPr>
              <w:t>(4)</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286,750</w:t>
            </w:r>
          </w:p>
        </w:tc>
        <w:tc>
          <w:tcPr>
            <w:tcW w:w="0" w:type="dxa"/>
            <w:vAlign w:val="bottom"/>
          </w:tcPr>
          <w:p>
            <w:pPr>
              <w:spacing w:after="0"/>
              <w:rPr>
                <w:sz w:val="1"/>
                <w:szCs w:val="1"/>
                <w:color w:val="auto"/>
              </w:rPr>
            </w:pPr>
          </w:p>
        </w:tc>
      </w:tr>
      <w:tr>
        <w:trPr>
          <w:trHeight w:val="297"/>
        </w:trPr>
        <w:tc>
          <w:tcPr>
            <w:tcW w:w="524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Jeff Huber</w:t>
            </w:r>
          </w:p>
        </w:tc>
        <w:tc>
          <w:tcPr>
            <w:tcW w:w="1940" w:type="dxa"/>
            <w:vAlign w:val="bottom"/>
            <w:gridSpan w:val="2"/>
            <w:shd w:val="clear" w:color="auto" w:fill="BAD8EB"/>
          </w:tcPr>
          <w:p>
            <w:pPr>
              <w:jc w:val="right"/>
              <w:ind w:right="482"/>
              <w:spacing w:after="0"/>
              <w:rPr>
                <w:sz w:val="20"/>
                <w:szCs w:val="20"/>
                <w:color w:val="auto"/>
              </w:rPr>
            </w:pPr>
            <w:r>
              <w:rPr>
                <w:rFonts w:ascii="Times New Roman" w:cs="Times New Roman" w:eastAsia="Times New Roman" w:hAnsi="Times New Roman"/>
                <w:sz w:val="18"/>
                <w:szCs w:val="18"/>
                <w:color w:val="auto"/>
              </w:rPr>
              <w:t>39,000</w:t>
            </w:r>
          </w:p>
        </w:tc>
        <w:tc>
          <w:tcPr>
            <w:tcW w:w="260" w:type="dxa"/>
            <w:vAlign w:val="bottom"/>
            <w:shd w:val="clear" w:color="auto" w:fill="BAD8EB"/>
          </w:tcPr>
          <w:p>
            <w:pPr>
              <w:spacing w:after="0"/>
              <w:rPr>
                <w:sz w:val="24"/>
                <w:szCs w:val="24"/>
                <w:color w:val="auto"/>
              </w:rPr>
            </w:pPr>
          </w:p>
        </w:tc>
        <w:tc>
          <w:tcPr>
            <w:tcW w:w="920" w:type="dxa"/>
            <w:vAlign w:val="bottom"/>
            <w:shd w:val="clear" w:color="auto" w:fill="BAD8EB"/>
          </w:tcPr>
          <w:p>
            <w:pPr>
              <w:ind w:left="120"/>
              <w:spacing w:after="0" w:line="297" w:lineRule="exact"/>
              <w:rPr>
                <w:sz w:val="20"/>
                <w:szCs w:val="20"/>
                <w:color w:val="auto"/>
              </w:rPr>
            </w:pPr>
            <w:r>
              <w:rPr>
                <w:rFonts w:ascii="Times New Roman" w:cs="Times New Roman" w:eastAsia="Times New Roman" w:hAnsi="Times New Roman"/>
                <w:sz w:val="18"/>
                <w:szCs w:val="18"/>
                <w:color w:val="auto"/>
                <w:w w:val="99"/>
              </w:rPr>
              <w:t>236,900</w:t>
            </w:r>
            <w:r>
              <w:rPr>
                <w:rFonts w:ascii="Times New Roman" w:cs="Times New Roman" w:eastAsia="Times New Roman" w:hAnsi="Times New Roman"/>
                <w:sz w:val="26"/>
                <w:szCs w:val="26"/>
                <w:color w:val="auto"/>
                <w:w w:val="99"/>
                <w:vertAlign w:val="superscript"/>
              </w:rPr>
              <w:t>(4)</w:t>
            </w:r>
          </w:p>
        </w:tc>
        <w:tc>
          <w:tcPr>
            <w:tcW w:w="200" w:type="dxa"/>
            <w:vAlign w:val="bottom"/>
            <w:shd w:val="clear" w:color="auto" w:fill="BAD8EB"/>
          </w:tcPr>
          <w:p>
            <w:pPr>
              <w:spacing w:after="0"/>
              <w:rPr>
                <w:sz w:val="24"/>
                <w:szCs w:val="24"/>
                <w:color w:val="auto"/>
              </w:rPr>
            </w:pPr>
          </w:p>
        </w:tc>
        <w:tc>
          <w:tcPr>
            <w:tcW w:w="70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275,900</w:t>
            </w:r>
          </w:p>
        </w:tc>
        <w:tc>
          <w:tcPr>
            <w:tcW w:w="0" w:type="dxa"/>
            <w:vAlign w:val="bottom"/>
          </w:tcPr>
          <w:p>
            <w:pPr>
              <w:spacing w:after="0"/>
              <w:rPr>
                <w:sz w:val="1"/>
                <w:szCs w:val="1"/>
                <w:color w:val="auto"/>
              </w:rPr>
            </w:pPr>
          </w:p>
        </w:tc>
      </w:tr>
      <w:tr>
        <w:trPr>
          <w:trHeight w:val="297"/>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Ciaran O’Kelly</w:t>
            </w:r>
          </w:p>
        </w:tc>
        <w:tc>
          <w:tcPr>
            <w:tcW w:w="194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rPr>
              <w:t>55,000</w:t>
            </w:r>
          </w:p>
        </w:tc>
        <w:tc>
          <w:tcPr>
            <w:tcW w:w="260" w:type="dxa"/>
            <w:vAlign w:val="bottom"/>
          </w:tcPr>
          <w:p>
            <w:pPr>
              <w:spacing w:after="0"/>
              <w:rPr>
                <w:sz w:val="24"/>
                <w:szCs w:val="24"/>
                <w:color w:val="auto"/>
              </w:rPr>
            </w:pPr>
          </w:p>
        </w:tc>
        <w:tc>
          <w:tcPr>
            <w:tcW w:w="920" w:type="dxa"/>
            <w:vAlign w:val="bottom"/>
          </w:tcPr>
          <w:p>
            <w:pPr>
              <w:ind w:left="120"/>
              <w:spacing w:after="0" w:line="297" w:lineRule="exact"/>
              <w:rPr>
                <w:sz w:val="20"/>
                <w:szCs w:val="20"/>
                <w:color w:val="auto"/>
              </w:rPr>
            </w:pPr>
            <w:r>
              <w:rPr>
                <w:rFonts w:ascii="Times New Roman" w:cs="Times New Roman" w:eastAsia="Times New Roman" w:hAnsi="Times New Roman"/>
                <w:sz w:val="18"/>
                <w:szCs w:val="18"/>
                <w:color w:val="auto"/>
                <w:w w:val="99"/>
              </w:rPr>
              <w:t>249,776</w:t>
            </w:r>
            <w:r>
              <w:rPr>
                <w:rFonts w:ascii="Times New Roman" w:cs="Times New Roman" w:eastAsia="Times New Roman" w:hAnsi="Times New Roman"/>
                <w:sz w:val="26"/>
                <w:szCs w:val="26"/>
                <w:color w:val="auto"/>
                <w:w w:val="99"/>
                <w:vertAlign w:val="superscript"/>
              </w:rPr>
              <w:t>(4)</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304,776</w:t>
            </w:r>
          </w:p>
        </w:tc>
        <w:tc>
          <w:tcPr>
            <w:tcW w:w="0" w:type="dxa"/>
            <w:vAlign w:val="bottom"/>
          </w:tcPr>
          <w:p>
            <w:pPr>
              <w:spacing w:after="0"/>
              <w:rPr>
                <w:sz w:val="1"/>
                <w:szCs w:val="1"/>
                <w:color w:val="auto"/>
              </w:rPr>
            </w:pPr>
          </w:p>
        </w:tc>
      </w:tr>
      <w:tr>
        <w:trPr>
          <w:trHeight w:val="270"/>
        </w:trPr>
        <w:tc>
          <w:tcPr>
            <w:tcW w:w="524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Hilliard Terry, III</w:t>
            </w:r>
          </w:p>
        </w:tc>
        <w:tc>
          <w:tcPr>
            <w:tcW w:w="1940" w:type="dxa"/>
            <w:vAlign w:val="bottom"/>
            <w:gridSpan w:val="2"/>
            <w:shd w:val="clear" w:color="auto" w:fill="BAD8EB"/>
          </w:tcPr>
          <w:p>
            <w:pPr>
              <w:jc w:val="right"/>
              <w:ind w:right="482"/>
              <w:spacing w:after="0"/>
              <w:rPr>
                <w:sz w:val="20"/>
                <w:szCs w:val="20"/>
                <w:color w:val="auto"/>
              </w:rPr>
            </w:pPr>
            <w:r>
              <w:rPr>
                <w:rFonts w:ascii="Times New Roman" w:cs="Times New Roman" w:eastAsia="Times New Roman" w:hAnsi="Times New Roman"/>
                <w:sz w:val="18"/>
                <w:szCs w:val="18"/>
                <w:color w:val="auto"/>
              </w:rPr>
              <w:t>55,000</w:t>
            </w:r>
          </w:p>
        </w:tc>
        <w:tc>
          <w:tcPr>
            <w:tcW w:w="260" w:type="dxa"/>
            <w:vAlign w:val="bottom"/>
            <w:shd w:val="clear" w:color="auto" w:fill="BAD8EB"/>
          </w:tcPr>
          <w:p>
            <w:pPr>
              <w:spacing w:after="0"/>
              <w:rPr>
                <w:sz w:val="23"/>
                <w:szCs w:val="23"/>
                <w:color w:val="auto"/>
              </w:rPr>
            </w:pPr>
          </w:p>
        </w:tc>
        <w:tc>
          <w:tcPr>
            <w:tcW w:w="920" w:type="dxa"/>
            <w:vAlign w:val="bottom"/>
            <w:shd w:val="clear" w:color="auto" w:fill="BAD8EB"/>
          </w:tcPr>
          <w:p>
            <w:pPr>
              <w:ind w:left="120"/>
              <w:spacing w:after="0"/>
              <w:rPr>
                <w:sz w:val="20"/>
                <w:szCs w:val="20"/>
                <w:color w:val="auto"/>
              </w:rPr>
            </w:pPr>
            <w:r>
              <w:rPr>
                <w:rFonts w:ascii="Times New Roman" w:cs="Times New Roman" w:eastAsia="Times New Roman" w:hAnsi="Times New Roman"/>
                <w:sz w:val="18"/>
                <w:szCs w:val="18"/>
                <w:color w:val="auto"/>
              </w:rPr>
              <w:t>205,605</w:t>
            </w:r>
          </w:p>
        </w:tc>
        <w:tc>
          <w:tcPr>
            <w:tcW w:w="200" w:type="dxa"/>
            <w:vAlign w:val="bottom"/>
            <w:shd w:val="clear" w:color="auto" w:fill="BAD8EB"/>
          </w:tcPr>
          <w:p>
            <w:pPr>
              <w:spacing w:after="0"/>
              <w:rPr>
                <w:sz w:val="23"/>
                <w:szCs w:val="23"/>
                <w:color w:val="auto"/>
              </w:rPr>
            </w:pPr>
          </w:p>
        </w:tc>
        <w:tc>
          <w:tcPr>
            <w:tcW w:w="70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260,605</w:t>
            </w:r>
          </w:p>
        </w:tc>
        <w:tc>
          <w:tcPr>
            <w:tcW w:w="0" w:type="dxa"/>
            <w:vAlign w:val="bottom"/>
          </w:tcPr>
          <w:p>
            <w:pPr>
              <w:spacing w:after="0"/>
              <w:rPr>
                <w:sz w:val="1"/>
                <w:szCs w:val="1"/>
                <w:color w:val="auto"/>
              </w:rPr>
            </w:pPr>
          </w:p>
        </w:tc>
      </w:tr>
      <w:tr>
        <w:trPr>
          <w:trHeight w:val="27"/>
        </w:trPr>
        <w:tc>
          <w:tcPr>
            <w:tcW w:w="380" w:type="dxa"/>
            <w:vAlign w:val="bottom"/>
            <w:shd w:val="clear" w:color="auto" w:fill="BAD8EB"/>
          </w:tcPr>
          <w:p>
            <w:pPr>
              <w:spacing w:after="0"/>
              <w:rPr>
                <w:sz w:val="2"/>
                <w:szCs w:val="2"/>
                <w:color w:val="auto"/>
              </w:rPr>
            </w:pPr>
          </w:p>
        </w:tc>
        <w:tc>
          <w:tcPr>
            <w:tcW w:w="4860" w:type="dxa"/>
            <w:vAlign w:val="bottom"/>
            <w:shd w:val="clear" w:color="auto" w:fill="BAD8EB"/>
          </w:tcPr>
          <w:p>
            <w:pPr>
              <w:spacing w:after="0"/>
              <w:rPr>
                <w:sz w:val="2"/>
                <w:szCs w:val="2"/>
                <w:color w:val="auto"/>
              </w:rPr>
            </w:pPr>
          </w:p>
        </w:tc>
        <w:tc>
          <w:tcPr>
            <w:tcW w:w="280" w:type="dxa"/>
            <w:vAlign w:val="bottom"/>
            <w:shd w:val="clear" w:color="auto" w:fill="BAD8EB"/>
          </w:tcPr>
          <w:p>
            <w:pPr>
              <w:spacing w:after="0"/>
              <w:rPr>
                <w:sz w:val="2"/>
                <w:szCs w:val="2"/>
                <w:color w:val="auto"/>
              </w:rPr>
            </w:pPr>
          </w:p>
        </w:tc>
        <w:tc>
          <w:tcPr>
            <w:tcW w:w="1660" w:type="dxa"/>
            <w:vAlign w:val="bottom"/>
            <w:shd w:val="clear" w:color="auto" w:fill="BAD8EB"/>
          </w:tcPr>
          <w:p>
            <w:pPr>
              <w:spacing w:after="0"/>
              <w:rPr>
                <w:sz w:val="2"/>
                <w:szCs w:val="2"/>
                <w:color w:val="auto"/>
              </w:rPr>
            </w:pPr>
          </w:p>
        </w:tc>
        <w:tc>
          <w:tcPr>
            <w:tcW w:w="260" w:type="dxa"/>
            <w:vAlign w:val="bottom"/>
            <w:shd w:val="clear" w:color="auto" w:fill="BAD8EB"/>
          </w:tcPr>
          <w:p>
            <w:pPr>
              <w:spacing w:after="0"/>
              <w:rPr>
                <w:sz w:val="2"/>
                <w:szCs w:val="2"/>
                <w:color w:val="auto"/>
              </w:rPr>
            </w:pPr>
          </w:p>
        </w:tc>
        <w:tc>
          <w:tcPr>
            <w:tcW w:w="920" w:type="dxa"/>
            <w:vAlign w:val="bottom"/>
            <w:shd w:val="clear" w:color="auto" w:fill="BAD8EB"/>
          </w:tcPr>
          <w:p>
            <w:pPr>
              <w:spacing w:after="0"/>
              <w:rPr>
                <w:sz w:val="2"/>
                <w:szCs w:val="2"/>
                <w:color w:val="auto"/>
              </w:rPr>
            </w:pPr>
          </w:p>
        </w:tc>
        <w:tc>
          <w:tcPr>
            <w:tcW w:w="200" w:type="dxa"/>
            <w:vAlign w:val="bottom"/>
            <w:shd w:val="clear" w:color="auto" w:fill="BAD8EB"/>
          </w:tcPr>
          <w:p>
            <w:pPr>
              <w:spacing w:after="0"/>
              <w:rPr>
                <w:sz w:val="2"/>
                <w:szCs w:val="2"/>
                <w:color w:val="auto"/>
              </w:rPr>
            </w:pPr>
          </w:p>
        </w:tc>
        <w:tc>
          <w:tcPr>
            <w:tcW w:w="700" w:type="dxa"/>
            <w:vAlign w:val="bottom"/>
            <w:shd w:val="clear" w:color="auto" w:fill="BAD8E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right="160" w:hanging="424"/>
        <w:spacing w:after="0" w:line="254"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director elected to receive payment in RSUs in lieu of cash pursuant to our Outside Director Compensation Policy, annual retainer fees in the form of RSUs were granted on January 12, 2026. The number of RSUs received was based on the average closing stock price for the 30 trading days immediately prior to the date of grant. See the section above titled </w:t>
      </w:r>
      <w:r>
        <w:rPr>
          <w:rFonts w:ascii="Times New Roman" w:cs="Times New Roman" w:eastAsia="Times New Roman" w:hAnsi="Times New Roman"/>
          <w:sz w:val="18"/>
          <w:szCs w:val="18"/>
          <w:i w:val="1"/>
          <w:iCs w:val="1"/>
          <w:color w:val="auto"/>
        </w:rPr>
        <w:t>“Election to Receive Restricted Stock Units in lieu of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for more information. For fiscal year 2025, three of our non-employee directors elected to receive all of their annual retainer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in RSUs: Mr. Bernard received 834 RSUs, Ms. Cooper received 1,459 RSUs and Mr. O’Kelly received 1,168 RSUs.</w:t>
      </w:r>
    </w:p>
    <w:p>
      <w:pPr>
        <w:spacing w:after="0" w:line="3"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dollar value of the RSU awards shown in the “Stock Awards” column represents the grant date fair value calculated on the basis of the fair market value of the underlying shares of common stock on the grant date in accordance with the Financial Accounting Standards Board Accounting Standards Codification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(“FASB ASC Topic 718”). The actual value that the director will realize on each RSU award will depend on the price per share of our common stock at the time shares underlying the RSUs vest. Accordingly, these amounts do not necessarily correspond to the actual value realized or that may be realized by the directors.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Cassidy resigned from the board effective May 23, 2025. The amounts reported reflect compensation earned through her resignation date.</w:t>
      </w:r>
    </w:p>
    <w:p>
      <w:pPr>
        <w:spacing w:after="0" w:line="27"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directors, amounts reported include stock-based compensation expense computed in accordance with FASB ASC Topic 718 related to shares issued in settlement of director fees earned in the prior fiscal year that such directors elected to receive in shares of the Company’s common stock in lieu of cash compensation. The underlying fees were previously reported in the Director Compensation Table for the prior fiscal year and do not represent additional compensation for services performed in the current fiscal year.</w:t>
      </w:r>
    </w:p>
    <w:p>
      <w:pPr>
        <w:spacing w:after="0" w:line="18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all outstanding equity awards held by our non-employee directors as of December 31, 2025.</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 Number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320" w:type="dxa"/>
            <w:vAlign w:val="bottom"/>
            <w:vMerge w:val="restart"/>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 Awards (#)</w:t>
            </w:r>
          </w:p>
        </w:tc>
        <w:tc>
          <w:tcPr>
            <w:tcW w:w="0" w:type="dxa"/>
            <w:vAlign w:val="bottom"/>
          </w:tcPr>
          <w:p>
            <w:pPr>
              <w:spacing w:after="0"/>
              <w:rPr>
                <w:sz w:val="1"/>
                <w:szCs w:val="1"/>
                <w:color w:val="auto"/>
              </w:rPr>
            </w:pPr>
          </w:p>
        </w:tc>
      </w:tr>
      <w:tr>
        <w:trPr>
          <w:trHeight w:val="251"/>
        </w:trPr>
        <w:tc>
          <w:tcPr>
            <w:tcW w:w="2680" w:type="dxa"/>
            <w:vAlign w:val="bottom"/>
            <w:tcBorders>
              <w:top w:val="single" w:sz="8" w:color="BAD8EB"/>
              <w:bottom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Peter Bernard</w:t>
            </w:r>
          </w:p>
        </w:tc>
        <w:tc>
          <w:tcPr>
            <w:tcW w:w="1840" w:type="dxa"/>
            <w:vAlign w:val="bottom"/>
            <w:tcBorders>
              <w:top w:val="single" w:sz="8" w:color="BAD8EB"/>
              <w:bottom w:val="single" w:sz="8" w:color="BAD8EB"/>
            </w:tcBorders>
            <w:shd w:val="clear" w:color="auto" w:fill="BAD8EB"/>
          </w:tcPr>
          <w:p>
            <w:pPr>
              <w:spacing w:after="0"/>
              <w:rPr>
                <w:sz w:val="21"/>
                <w:szCs w:val="21"/>
                <w:color w:val="auto"/>
              </w:rPr>
            </w:pPr>
          </w:p>
        </w:tc>
        <w:tc>
          <w:tcPr>
            <w:tcW w:w="280" w:type="dxa"/>
            <w:vAlign w:val="bottom"/>
            <w:tcBorders>
              <w:top w:val="single" w:sz="8" w:color="BAD8EB"/>
              <w:bottom w:val="single" w:sz="8" w:color="BAD8EB"/>
            </w:tcBorders>
            <w:shd w:val="clear" w:color="auto" w:fill="BAD8EB"/>
          </w:tcPr>
          <w:p>
            <w:pPr>
              <w:spacing w:after="0"/>
              <w:rPr>
                <w:sz w:val="21"/>
                <w:szCs w:val="21"/>
                <w:color w:val="auto"/>
              </w:rPr>
            </w:pPr>
          </w:p>
        </w:tc>
        <w:tc>
          <w:tcPr>
            <w:tcW w:w="1980" w:type="dxa"/>
            <w:vAlign w:val="bottom"/>
            <w:tcBorders>
              <w:top w:val="single" w:sz="8" w:color="auto"/>
              <w:bottom w:val="single" w:sz="8" w:color="BAD8EB"/>
            </w:tcBorders>
            <w:shd w:val="clear" w:color="auto" w:fill="BAD8EB"/>
          </w:tcPr>
          <w:p>
            <w:pPr>
              <w:jc w:val="right"/>
              <w:ind w:right="639"/>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BAD8EB"/>
              <w:bottom w:val="single" w:sz="8" w:color="BAD8EB"/>
            </w:tcBorders>
            <w:shd w:val="clear" w:color="auto" w:fill="BAD8EB"/>
          </w:tcPr>
          <w:p>
            <w:pPr>
              <w:spacing w:after="0"/>
              <w:rPr>
                <w:sz w:val="21"/>
                <w:szCs w:val="21"/>
                <w:color w:val="auto"/>
              </w:rPr>
            </w:pPr>
          </w:p>
        </w:tc>
        <w:tc>
          <w:tcPr>
            <w:tcW w:w="1300" w:type="dxa"/>
            <w:vAlign w:val="bottom"/>
            <w:tcBorders>
              <w:top w:val="single" w:sz="8" w:color="auto"/>
              <w:bottom w:val="single" w:sz="8" w:color="BAD8EB"/>
            </w:tcBorders>
            <w:shd w:val="clear" w:color="auto" w:fill="BAD8EB"/>
          </w:tcPr>
          <w:p>
            <w:pPr>
              <w:jc w:val="right"/>
              <w:ind w:right="276"/>
              <w:spacing w:after="0"/>
              <w:rPr>
                <w:sz w:val="20"/>
                <w:szCs w:val="20"/>
                <w:color w:val="auto"/>
              </w:rPr>
            </w:pPr>
            <w:r>
              <w:rPr>
                <w:rFonts w:ascii="Times New Roman" w:cs="Times New Roman" w:eastAsia="Times New Roman" w:hAnsi="Times New Roman"/>
                <w:sz w:val="18"/>
                <w:szCs w:val="18"/>
                <w:color w:val="auto"/>
              </w:rPr>
              <w:t>4,082</w:t>
            </w:r>
          </w:p>
        </w:tc>
        <w:tc>
          <w:tcPr>
            <w:tcW w:w="0" w:type="dxa"/>
            <w:vAlign w:val="bottom"/>
          </w:tcPr>
          <w:p>
            <w:pPr>
              <w:spacing w:after="0"/>
              <w:rPr>
                <w:sz w:val="1"/>
                <w:szCs w:val="1"/>
                <w:color w:val="auto"/>
              </w:rPr>
            </w:pPr>
          </w:p>
        </w:tc>
      </w:tr>
      <w:tr>
        <w:trPr>
          <w:trHeight w:val="27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Kerry Cooper</w:t>
            </w:r>
          </w:p>
        </w:tc>
        <w:tc>
          <w:tcPr>
            <w:tcW w:w="1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680" w:type="dxa"/>
            <w:vAlign w:val="bottom"/>
            <w:tcBorders>
              <w:bottom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Mary Hentges</w:t>
            </w:r>
          </w:p>
        </w:tc>
        <w:tc>
          <w:tcPr>
            <w:tcW w:w="1840" w:type="dxa"/>
            <w:vAlign w:val="bottom"/>
            <w:tcBorders>
              <w:bottom w:val="single" w:sz="8" w:color="BAD8EB"/>
            </w:tcBorders>
            <w:shd w:val="clear" w:color="auto" w:fill="BAD8EB"/>
          </w:tcPr>
          <w:p>
            <w:pPr>
              <w:spacing w:after="0"/>
              <w:rPr>
                <w:sz w:val="24"/>
                <w:szCs w:val="24"/>
                <w:color w:val="auto"/>
              </w:rPr>
            </w:pPr>
          </w:p>
        </w:tc>
        <w:tc>
          <w:tcPr>
            <w:tcW w:w="2260" w:type="dxa"/>
            <w:vAlign w:val="bottom"/>
            <w:tcBorders>
              <w:bottom w:val="single" w:sz="8" w:color="BAD8EB"/>
            </w:tcBorders>
            <w:gridSpan w:val="2"/>
            <w:shd w:val="clear" w:color="auto" w:fill="BAD8EB"/>
          </w:tcPr>
          <w:p>
            <w:pPr>
              <w:jc w:val="right"/>
              <w:ind w:right="579"/>
              <w:spacing w:after="0"/>
              <w:rPr>
                <w:sz w:val="20"/>
                <w:szCs w:val="20"/>
                <w:color w:val="auto"/>
              </w:rPr>
            </w:pPr>
            <w:r>
              <w:rPr>
                <w:rFonts w:ascii="Times New Roman" w:cs="Times New Roman" w:eastAsia="Times New Roman" w:hAnsi="Times New Roman"/>
                <w:sz w:val="18"/>
                <w:szCs w:val="18"/>
                <w:color w:val="auto"/>
              </w:rPr>
              <w:t>98,295</w:t>
            </w:r>
          </w:p>
        </w:tc>
        <w:tc>
          <w:tcPr>
            <w:tcW w:w="280" w:type="dxa"/>
            <w:vAlign w:val="bottom"/>
            <w:tcBorders>
              <w:bottom w:val="single" w:sz="8" w:color="BAD8EB"/>
            </w:tcBorders>
            <w:shd w:val="clear" w:color="auto" w:fill="BAD8EB"/>
          </w:tcPr>
          <w:p>
            <w:pPr>
              <w:spacing w:after="0"/>
              <w:rPr>
                <w:sz w:val="24"/>
                <w:szCs w:val="24"/>
                <w:color w:val="auto"/>
              </w:rPr>
            </w:pPr>
          </w:p>
        </w:tc>
        <w:tc>
          <w:tcPr>
            <w:tcW w:w="1300" w:type="dxa"/>
            <w:vAlign w:val="bottom"/>
            <w:tcBorders>
              <w:bottom w:val="single" w:sz="8" w:color="BAD8EB"/>
            </w:tcBorders>
            <w:shd w:val="clear" w:color="auto" w:fill="BAD8EB"/>
          </w:tcPr>
          <w:p>
            <w:pPr>
              <w:jc w:val="right"/>
              <w:ind w:right="276"/>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7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Huber</w:t>
            </w:r>
          </w:p>
        </w:tc>
        <w:tc>
          <w:tcPr>
            <w:tcW w:w="1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680" w:type="dxa"/>
            <w:vAlign w:val="bottom"/>
            <w:tcBorders>
              <w:bottom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Ciaran O’Kelly</w:t>
            </w:r>
          </w:p>
        </w:tc>
        <w:tc>
          <w:tcPr>
            <w:tcW w:w="1840" w:type="dxa"/>
            <w:vAlign w:val="bottom"/>
            <w:tcBorders>
              <w:bottom w:val="single" w:sz="8" w:color="BAD8EB"/>
            </w:tcBorders>
            <w:shd w:val="clear" w:color="auto" w:fill="BAD8EB"/>
          </w:tcPr>
          <w:p>
            <w:pPr>
              <w:spacing w:after="0"/>
              <w:rPr>
                <w:sz w:val="24"/>
                <w:szCs w:val="24"/>
                <w:color w:val="auto"/>
              </w:rPr>
            </w:pPr>
          </w:p>
        </w:tc>
        <w:tc>
          <w:tcPr>
            <w:tcW w:w="2260" w:type="dxa"/>
            <w:vAlign w:val="bottom"/>
            <w:tcBorders>
              <w:bottom w:val="single" w:sz="8" w:color="BAD8EB"/>
            </w:tcBorders>
            <w:gridSpan w:val="2"/>
            <w:shd w:val="clear" w:color="auto" w:fill="BAD8EB"/>
          </w:tcPr>
          <w:p>
            <w:pPr>
              <w:jc w:val="right"/>
              <w:ind w:right="579"/>
              <w:spacing w:after="0"/>
              <w:rPr>
                <w:sz w:val="20"/>
                <w:szCs w:val="20"/>
                <w:color w:val="auto"/>
              </w:rPr>
            </w:pPr>
            <w:r>
              <w:rPr>
                <w:rFonts w:ascii="Times New Roman" w:cs="Times New Roman" w:eastAsia="Times New Roman" w:hAnsi="Times New Roman"/>
                <w:sz w:val="18"/>
                <w:szCs w:val="18"/>
                <w:color w:val="auto"/>
              </w:rPr>
              <w:t>192,443</w:t>
            </w:r>
          </w:p>
        </w:tc>
        <w:tc>
          <w:tcPr>
            <w:tcW w:w="280" w:type="dxa"/>
            <w:vAlign w:val="bottom"/>
            <w:tcBorders>
              <w:bottom w:val="single" w:sz="8" w:color="BAD8EB"/>
            </w:tcBorders>
            <w:shd w:val="clear" w:color="auto" w:fill="BAD8EB"/>
          </w:tcPr>
          <w:p>
            <w:pPr>
              <w:spacing w:after="0"/>
              <w:rPr>
                <w:sz w:val="24"/>
                <w:szCs w:val="24"/>
                <w:color w:val="auto"/>
              </w:rPr>
            </w:pPr>
          </w:p>
        </w:tc>
        <w:tc>
          <w:tcPr>
            <w:tcW w:w="1300" w:type="dxa"/>
            <w:vAlign w:val="bottom"/>
            <w:tcBorders>
              <w:bottom w:val="single" w:sz="8" w:color="BAD8EB"/>
            </w:tcBorders>
            <w:shd w:val="clear" w:color="auto" w:fill="BAD8EB"/>
          </w:tcPr>
          <w:p>
            <w:pPr>
              <w:jc w:val="right"/>
              <w:ind w:right="276"/>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7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Hilliard Terry, III</w:t>
            </w:r>
          </w:p>
        </w:tc>
        <w:tc>
          <w:tcPr>
            <w:tcW w:w="4100" w:type="dxa"/>
            <w:vAlign w:val="bottom"/>
            <w:gridSpan w:val="3"/>
          </w:tcPr>
          <w:p>
            <w:pPr>
              <w:jc w:val="right"/>
              <w:ind w:right="579"/>
              <w:spacing w:after="0"/>
              <w:rPr>
                <w:sz w:val="20"/>
                <w:szCs w:val="20"/>
                <w:color w:val="auto"/>
              </w:rPr>
            </w:pPr>
            <w:r>
              <w:rPr>
                <w:rFonts w:ascii="Times New Roman" w:cs="Times New Roman" w:eastAsia="Times New Roman" w:hAnsi="Times New Roman"/>
                <w:sz w:val="18"/>
                <w:szCs w:val="18"/>
                <w:color w:val="auto"/>
              </w:rPr>
              <w:t>68,295</w:t>
            </w:r>
          </w:p>
        </w:tc>
        <w:tc>
          <w:tcPr>
            <w:tcW w:w="280" w:type="dxa"/>
            <w:vAlign w:val="bottom"/>
          </w:tcPr>
          <w:p>
            <w:pPr>
              <w:spacing w:after="0"/>
              <w:rPr>
                <w:sz w:val="23"/>
                <w:szCs w:val="23"/>
                <w:color w:val="auto"/>
              </w:rPr>
            </w:pP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392"/>
        </w:trPr>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has eight members. In accordance with our amended and restated certificate of incorporation, our Board is divided into three staggered classes of directors. One class is elected each year during the annual meeting of stockholders for a term of three years. The term of the Class III directors expires at the 2026 Annual Meeting. The terms of office of directors in Class I and Class II do not expire until the annual meetings of stockholders held in 2027 and 2028,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Our nominating and corporate governance committee has recommended, and our Board has approved, Kerry Cooper, Mary Hentges and Ciaran O’Kelly as nominees for election as Class III directors at the 2026 Annual Meeting. If elected, each of Ms. Cooper, Ms. Hentges and Mr. O’Kelly will serve as Class III directors until the 2029 annual meeting of stockholders and until their successors are duly elected and qualified, subject to their earlier death, resignation, or removal. For information concerning the nominees, please see the section titled “</w:t>
      </w:r>
      <w:r>
        <w:rPr>
          <w:rFonts w:ascii="Times New Roman" w:cs="Times New Roman" w:eastAsia="Times New Roman" w:hAnsi="Times New Roman"/>
          <w:sz w:val="17"/>
          <w:szCs w:val="17"/>
          <w:i w:val="1"/>
          <w:iCs w:val="1"/>
          <w:color w:val="auto"/>
        </w:rPr>
        <w:t>Board of Directors and Corporate Governance</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and you sign your proxy card or vote by telephone or over the Internet but do not give instructions with respect to the voting of directors, your shares will be voted “FOR” the election of Ms. Cooper, Ms. Hentges and Mr. O’Kelly. We expect that each of</w:t>
      </w: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Ms. Cooper, Ms. Hentges and Mr. O’Kelly will accept such nomination; however, in the event that a director nominee is unable or declines to serve as a director at the time of the 2026 Annual Meeting, the proxies will be voted for any nominee designated by our Board to fill such vacancy. If you are a street-name stockholder and you do not give voting instructions to your broker, bank, or other nominee, your broker, bank, or other nominee will leave your shares unvoted on this matter.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election of directors requires a plurality of the voting power of the shares of our common stock present virtually or by proxy during the 2026 Annual Meeting and entitled to vote thereon to be approved. Any shares not voted “FOR” a particular nominee (whether as a result of stockholder abstention or a broker non-vote) will not be counted in such nominee’s favor and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85800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0" cy="308610"/>
                    </a:xfrm>
                    <a:prstGeom prst="rect">
                      <a:avLst/>
                    </a:prstGeom>
                    <a:noFill/>
                  </pic:spPr>
                </pic:pic>
              </a:graphicData>
            </a:graphic>
          </wp:anchor>
        </w:drawing>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THE NOMINEES NAMED ABOVE</w:t>
      </w:r>
    </w:p>
    <w:p>
      <w:pPr>
        <w:spacing w:after="0" w:line="1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has appointed Deloitte &amp; Touche LLP to serve as our independent registered public accounting firm, for the year ending December 31, 2026. Deloitte &amp; Touche LLP served as our independent registered public accounting firm for the fiscal year ended December 31, 2025.</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our company and its stockholders. At the 2026 Annual Meeting, the stockholders are being asked to ratify the appointment of Deloitte &amp; Touche LLP as our independent registered public accounting firm for the fiscal year ending December 31, 2026. Our audit committee is submitting the selection of Deloitte &amp; Touche LLP to our stockholders because we value our stockholders’ views on our independent registered public accounting firm and as a matter of good corporate governance. If the stockholders do not ratify the appointment of Deloitte &amp; Touche LLP, our Board may reconsider the appointment.</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Deloitte &amp; Touche LLP will participate at the 2026 Annual Meeting, and they will have an opportunity to make statements and will be available to respond to appropriate questions from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fees we recognized for services rendered by Deloitte &amp; Touche LLP for the fiscal years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and 2025, inclusive of out-of-pocket expenses.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80"/>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148"/>
        </w:trPr>
        <w:tc>
          <w:tcPr>
            <w:tcW w:w="820" w:type="dxa"/>
            <w:vAlign w:val="bottom"/>
            <w:tcBorders>
              <w:top w:val="single" w:sz="8" w:color="auto"/>
            </w:tcBorders>
          </w:tcPr>
          <w:p>
            <w:pPr>
              <w:spacing w:after="0"/>
              <w:rPr>
                <w:sz w:val="12"/>
                <w:szCs w:val="12"/>
                <w:color w:val="auto"/>
              </w:rPr>
            </w:pPr>
          </w:p>
        </w:tc>
        <w:tc>
          <w:tcPr>
            <w:tcW w:w="29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34"/>
        </w:trPr>
        <w:tc>
          <w:tcPr>
            <w:tcW w:w="8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37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2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4,701,360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5,139,832</w:t>
            </w:r>
          </w:p>
        </w:tc>
      </w:tr>
      <w:tr>
        <w:trPr>
          <w:trHeight w:val="351"/>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6"/>
                <w:szCs w:val="26"/>
                <w:color w:val="auto"/>
                <w:vertAlign w:val="superscript"/>
              </w:rPr>
              <w:t>(2)</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933,157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972,400</w:t>
            </w:r>
          </w:p>
        </w:tc>
      </w:tr>
      <w:tr>
        <w:trPr>
          <w:trHeight w:val="243"/>
        </w:trPr>
        <w:tc>
          <w:tcPr>
            <w:tcW w:w="37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(3)</w:t>
            </w:r>
          </w:p>
        </w:tc>
        <w:tc>
          <w:tcPr>
            <w:tcW w:w="2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75,424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76,912</w:t>
            </w:r>
          </w:p>
        </w:tc>
      </w:tr>
      <w:tr>
        <w:trPr>
          <w:trHeight w:val="216"/>
        </w:trPr>
        <w:tc>
          <w:tcPr>
            <w:tcW w:w="37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(4)</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7,391</w:t>
            </w:r>
          </w:p>
        </w:tc>
      </w:tr>
      <w:tr>
        <w:trPr>
          <w:trHeight w:val="61"/>
        </w:trPr>
        <w:tc>
          <w:tcPr>
            <w:tcW w:w="8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3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5,709,941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6,196,535</w:t>
            </w:r>
          </w:p>
        </w:tc>
      </w:tr>
    </w:tbl>
    <w:p>
      <w:pPr>
        <w:spacing w:after="0" w:line="225" w:lineRule="exact"/>
        <w:rPr>
          <w:sz w:val="20"/>
          <w:szCs w:val="20"/>
          <w:color w:val="auto"/>
        </w:rPr>
      </w:pPr>
    </w:p>
    <w:p>
      <w:pPr>
        <w:ind w:left="540" w:right="160" w:hanging="424"/>
        <w:spacing w:after="0" w:line="257"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consisted of fees for professional services rendered in connection with the annual audit of our consolidated financial statements, audit of our internal control over financial reporting, review of our quarterly consolidated financial statements, consultations on accounting matters directly related to the audit, and preparation for compliance with Section 404 of the Sarbanes-Oxley Act of 2002.</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consisted of fees for professional services rendered for service organization reports and fees billed for assurance and related services that are reasonably related to the performance of the audit or review of our consolidated financial statements and not reported under “Audit Fees.” For the fiscal years ended December 31, 2024 and December 31, 2025, audit-related fees included fees incurred in connection with issuances of convertible senior notes. Additionally, for the fiscal year ended December 31, 2025, audit-related fees included fees incurred in connection with our at-the-market offering program.</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consisted of fees for professional services rendered for tax advice.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consisted of subscription fees.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2025, there were no other professional services provided by Deloitte &amp; Touche LLP that would have required the audit committee to consider their compatibility with maintaining the independence of Deloitte &amp; Touche LLP.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its charter, the audit committee must review and approve, in advance, the scope and plans for the audits and the audit fees and approve in advance (or, where permitted under the rules and regulations of the SEC, subsequently) all non-audit services to be performed by the independent auditor that are not otherwise prohibited by law and any associated fees. Our audit committee has pre-approved all services performed by Deloitte &amp; Touche LLP during the fiscal year ended December 31, 2025. The audit committee may delegate to one or more members of the committee the authority to pre-approve audit and permissible non-audit services, as long as this pre-approval is presented to the full committee at scheduled meetings.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ratification of the appointment of Deloitte &amp; Touche LLP as our independent registered public accounting firm for our fiscal year ending December 31, 2026 requires the affirmative vote of a majority of the voting power of the shares of our common stock present virtually or by proxy during the 2026 Annual Meeting and entitled to vote thereon. Abstentions will have the effect of a vote against this proposal, and broker non-votes will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85800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00" cy="308610"/>
                    </a:xfrm>
                    <a:prstGeom prst="rect">
                      <a:avLst/>
                    </a:prstGeom>
                    <a:noFill/>
                  </pic:spPr>
                </pic:pic>
              </a:graphicData>
            </a:graphic>
          </wp:anchor>
        </w:drawing>
      </w: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RATIFICATION OF THE APPOINTMENT OF DELOITTE &amp; TOUCHE LLP</w:t>
      </w:r>
    </w:p>
    <w:p>
      <w:pPr>
        <w:spacing w:after="0" w:line="1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is comprised solely of independent directors and operates under a written charter adopted by the Board, which charter is reviewed on an annual basis and amended as necessary by the Board upon recommendation by the audit committee. The composition of the audit committee, the attributes of its members, and the responsibilities of the audit committee, as reflected in its charter, are intended to be in accordance with applicable requirements for corporate audit committees.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appoints an accounting firm as our independent registered public accounting firm. The independent registered public accounting firm is responsible for performing an independent audit of our financial statements in accordance with generally accepted auditing standards and issuing a report thereon. Management is responsible for our internal controls and the financial reporting process. The audit committee is responsible for monitoring and overseeing these processes.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audit committee held six meetings during the fiscal year ended December 31, 2025. The meetings were designed to provide information to the audit committee necessary for it to conduct its oversight function of the external financial reporting activities and audit process of our company, and to facilitate and encourage communication between the audit committee, management and our independent registered public accounting firm, Deloitte &amp; Touche LLP. Management represented to the audit committee that our financial statements were prepared in accordance with GAAP. The audit committee reviewed and discussed the audited financial statements for the fiscal year ended December 31, 2025 with management and the independent registered public accounting firm. The audit committee also instructed the independent registered public accounting firm that the audit committee expects to be advised if there are any subjects that require special attention.</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discussed with the independent registered public accounting firm the matters required to be discussed by the applicable requirements of the Public Company Accounting Oversight Board (the “PCAOB”) and the SEC.</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also received the written disclosures and the letter from the independent registered public accounting firm, Deloitte &amp; Touche LLP, required by applicable requirements of the PCAOB regarding the independent registered public accounting firm’s communications with the audit committee concerning independence, and has discussed with Deloitte &amp; Touche LLP its independence.</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Based on its review of the audited financial statements and the various discussions noted above, the audit committee recommended to the Board that the audited financial statements be included in our Annual Report on Form 10-K for the fiscal year ended December 31, 2025 for filing with the SEC.</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of the Board: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Hilliard Terry, III (Chairperson)</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Mary Hentges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Ciaran O’Kelly</w:t>
      </w:r>
    </w:p>
    <w:p>
      <w:pPr>
        <w:spacing w:after="0" w:line="20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we specifically incorporate this information by reference, and this report and the information contained therein will not otherwise be deemed “soliciting material” or “filed” under either the Securities Act or the Exchange Act or be subject to Regulation 14A or Regulation 14C (other than as provided in Item 407 of Regulation S-K) or to the liabilities of Section 18 of the Exchange Act.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ADVISORY VOTE 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COMPENSATION OF OUR NAMED EXECUTIVE OFFICERS</w:t>
      </w:r>
    </w:p>
    <w:p>
      <w:pPr>
        <w:spacing w:after="0" w:line="20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Dodd-Frank Wall Street Reform and Consumer Protection Act of 2010 and the SEC rules, we are providing our stockholders with the opportunity to approve, on an advisory and non-binding basis, the compensation of our named executive officers, as described in this proxy statement and as disclosed pursuant to Section 14A of the Exchange Act.</w:t>
      </w:r>
    </w:p>
    <w:p>
      <w:pPr>
        <w:spacing w:after="0" w:line="176"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This proposal, commonly referred to as the “Say-on-Pay” vote, gives our stockholders the opportunity to express their views on the compensation of our named executive officers. This vote is not intended to address any specific item of compensation, but rather the overall compensation of our named executive officers and our executive compensation philosophy, policies, and practices, as discussed in this proxy statement.</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187"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You are encouraged to review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and, in particular, the section titled </w:t>
      </w:r>
      <w:r>
        <w:rPr>
          <w:rFonts w:ascii="Times New Roman" w:cs="Times New Roman" w:eastAsia="Times New Roman" w:hAnsi="Times New Roman"/>
          <w:sz w:val="18"/>
          <w:szCs w:val="18"/>
          <w:i w:val="1"/>
          <w:iCs w:val="1"/>
          <w:color w:val="auto"/>
        </w:rPr>
        <w:t>“Executive 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Discussion and Analysis” </w:t>
      </w:r>
      <w:r>
        <w:rPr>
          <w:rFonts w:ascii="Times New Roman" w:cs="Times New Roman" w:eastAsia="Times New Roman" w:hAnsi="Times New Roman"/>
          <w:sz w:val="18"/>
          <w:szCs w:val="18"/>
          <w:color w:val="auto"/>
        </w:rPr>
        <w:t>in this proxy statement, which provide a comprehensive review of our executive compensation program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elements, objectives, and rationale. We believe that the information provided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demonstrates that our executive compensation program was designed appropriately and is working to ensure management’s interests are aligned with our stockholders’ interests to support long-term value creation. Accordingly, we ask our stockholders to vote “FOR” the following non-binding resolution at the 2026 Annual Meeting:</w:t>
      </w:r>
    </w:p>
    <w:p>
      <w:pPr>
        <w:spacing w:after="0" w:line="76" w:lineRule="exact"/>
        <w:rPr>
          <w:sz w:val="20"/>
          <w:szCs w:val="20"/>
          <w:color w:val="auto"/>
        </w:rPr>
      </w:pPr>
    </w:p>
    <w:p>
      <w:pPr>
        <w:ind w:left="560" w:right="340"/>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on an advisory basis, the compensation paid to our named executive officers, as disclosed in the Proxy Statement for the 2026 Annual Meeting pursuant to Item 402 of Regulation S-K, including the Compensation Discussion and Analysis, compensation tables and narrative discussion, and other related disclosure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approval, on an advisory basis, of the compensation of our named executive officers requires the affirmative vote of a majority of the voting power of the shares of our common stock present virtually or by proxy during the 2026 Annual Meeting and entitled to vote thereon. Abstentions will have the effect of a vote against this proposal, and broker non-votes will have no effect.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an advisory vote, the result of this proposal is non-binding. However, our Board and our compensation committee value the opinions expressed by stockholders in their vote on this proposal and will consider the outcome of the vote when considering future executive compensation decisions and when evaluating our executive compensation program.</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provide our stockholders the opportunity to vote on the compensation of our named executive officers every year. It is expected that the next vote on executive compensation will be at the 2027 annual meeting of stockholders.</w:t>
      </w:r>
    </w:p>
    <w:p>
      <w:pPr>
        <w:spacing w:after="0" w:line="198" w:lineRule="exact"/>
        <w:rPr>
          <w:sz w:val="20"/>
          <w:szCs w:val="20"/>
          <w:color w:val="auto"/>
        </w:rPr>
      </w:pPr>
    </w:p>
    <w:p>
      <w:pPr>
        <w:jc w:val="center"/>
        <w:ind w:left="340" w:right="7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-306705</wp:posOffset>
            </wp:positionV>
            <wp:extent cx="6858000"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0" cy="291465"/>
                    </a:xfrm>
                    <a:prstGeom prst="rect">
                      <a:avLst/>
                    </a:prstGeom>
                    <a:noFill/>
                  </pic:spPr>
                </pic:pic>
              </a:graphicData>
            </a:graphic>
          </wp:anchor>
        </w:drawing>
      </w:r>
    </w:p>
    <w:p>
      <w:pPr>
        <w:spacing w:after="0" w:line="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names of our executive officers, their ages, their positions with Upstart Holdings, Inc., and other biographical information as of April 16, 2026, are set forth below. Executive officers are appointed by our Board to hold office until their successors are appointed and qualified. There are no familial relationships among our directors or executive officers.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67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48"/>
        </w:trPr>
        <w:tc>
          <w:tcPr>
            <w:tcW w:w="360" w:type="dxa"/>
            <w:vAlign w:val="bottom"/>
            <w:tcBorders>
              <w:top w:val="single" w:sz="8" w:color="auto"/>
            </w:tcBorders>
          </w:tcPr>
          <w:p>
            <w:pPr>
              <w:spacing w:after="0"/>
              <w:rPr>
                <w:sz w:val="4"/>
                <w:szCs w:val="4"/>
                <w:color w:val="auto"/>
              </w:rPr>
            </w:pPr>
          </w:p>
        </w:tc>
        <w:tc>
          <w:tcPr>
            <w:tcW w:w="36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780" w:type="dxa"/>
            <w:vAlign w:val="bottom"/>
          </w:tcPr>
          <w:p>
            <w:pPr>
              <w:spacing w:after="0"/>
              <w:rPr>
                <w:sz w:val="4"/>
                <w:szCs w:val="4"/>
                <w:color w:val="auto"/>
              </w:rPr>
            </w:pPr>
          </w:p>
        </w:tc>
      </w:tr>
      <w:tr>
        <w:trPr>
          <w:trHeight w:val="243"/>
        </w:trPr>
        <w:tc>
          <w:tcPr>
            <w:tcW w:w="40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Dave Girouard</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67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Chief Executive Officer, Chairperson of the Board</w:t>
            </w:r>
          </w:p>
        </w:tc>
      </w:tr>
      <w:tr>
        <w:trPr>
          <w:trHeight w:val="35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Datta</w:t>
            </w:r>
            <w:r>
              <w:rPr>
                <w:rFonts w:ascii="Times New Roman" w:cs="Times New Roman" w:eastAsia="Times New Roman" w:hAnsi="Times New Roman"/>
                <w:sz w:val="26"/>
                <w:szCs w:val="26"/>
                <w:color w:val="auto"/>
                <w:vertAlign w:val="superscript"/>
              </w:rPr>
              <w:t>(2)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7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President, Capital &amp; Enterprise</w:t>
            </w:r>
          </w:p>
        </w:tc>
      </w:tr>
      <w:tr>
        <w:trPr>
          <w:trHeight w:val="243"/>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Andrea Blankmeyer</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67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5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Gu</w:t>
            </w:r>
            <w:r>
              <w:rPr>
                <w:rFonts w:ascii="Times New Roman" w:cs="Times New Roman" w:eastAsia="Times New Roman" w:hAnsi="Times New Roman"/>
                <w:sz w:val="26"/>
                <w:szCs w:val="26"/>
                <w:color w:val="auto"/>
                <w:vertAlign w:val="superscript"/>
              </w:rPr>
              <w:t>(1)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67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Chief Technology Officer, Director</w:t>
            </w:r>
          </w:p>
        </w:tc>
      </w:tr>
      <w:tr>
        <w:trPr>
          <w:trHeight w:val="243"/>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Darling</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67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25" w:lineRule="exact"/>
        <w:rPr>
          <w:sz w:val="20"/>
          <w:szCs w:val="20"/>
          <w:color w:val="auto"/>
        </w:rPr>
      </w:pPr>
    </w:p>
    <w:p>
      <w:pPr>
        <w:ind w:left="540" w:right="500" w:hanging="424"/>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May 1, 2026, Mr. Girouard will step down as Chief Executive Officer and become Executive Chairman of the Board. At that time, Mr. Gu will become Chief Executive Officer.</w:t>
      </w:r>
    </w:p>
    <w:p>
      <w:pPr>
        <w:ind w:left="540" w:right="680" w:hanging="424"/>
        <w:spacing w:after="0" w:line="26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10, 2026, Mr. Datta was appointed President and Chief Capital Officer. Shortly thereafter, his title was changed to President, Capital &amp; Enterprise. This change in title did not reflect any change in his responsibilities or scope of duties.</w:t>
      </w:r>
    </w:p>
    <w:p>
      <w:pPr>
        <w:spacing w:after="0" w:line="179" w:lineRule="exact"/>
        <w:rPr>
          <w:sz w:val="20"/>
          <w:szCs w:val="20"/>
          <w:color w:val="auto"/>
        </w:rPr>
      </w:pPr>
    </w:p>
    <w:p>
      <w:pPr>
        <w:ind w:left="120" w:right="480"/>
        <w:spacing w:after="0" w:line="284" w:lineRule="auto"/>
        <w:rPr>
          <w:sz w:val="20"/>
          <w:szCs w:val="20"/>
          <w:color w:val="auto"/>
        </w:rPr>
      </w:pPr>
      <w:r>
        <w:rPr>
          <w:rFonts w:ascii="Times New Roman" w:cs="Times New Roman" w:eastAsia="Times New Roman" w:hAnsi="Times New Roman"/>
          <w:sz w:val="18"/>
          <w:szCs w:val="18"/>
          <w:color w:val="auto"/>
        </w:rPr>
        <w:t xml:space="preserve">For the biographies of Mr. Girouard and Mr. Gu, see the sections titled </w:t>
      </w:r>
      <w:r>
        <w:rPr>
          <w:rFonts w:ascii="Times New Roman" w:cs="Times New Roman" w:eastAsia="Times New Roman" w:hAnsi="Times New Roman"/>
          <w:sz w:val="18"/>
          <w:szCs w:val="18"/>
          <w:i w:val="1"/>
          <w:iCs w:val="1"/>
          <w:color w:val="auto"/>
        </w:rPr>
        <w:t>“Board of Directors and Corporate Governance—Director Nominees”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“Board of Directors and Corporate Governance—Continuing Directors.”</w:t>
      </w:r>
    </w:p>
    <w:p>
      <w:pPr>
        <w:spacing w:after="0" w:line="15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Sanjay Datta</w:t>
      </w:r>
      <w:r>
        <w:rPr>
          <w:rFonts w:ascii="Times New Roman" w:cs="Times New Roman" w:eastAsia="Times New Roman" w:hAnsi="Times New Roman"/>
          <w:sz w:val="18"/>
          <w:szCs w:val="18"/>
          <w:color w:val="auto"/>
        </w:rPr>
        <w:t>. Mr. Datta has served as our President, Capital &amp; Enterprise since February 2026. Mr. Datta served as our Chief Financial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2016 to March 2026. From June 2005 to December 2016, he served in various roles at Alphabet Inc. (formerly Google Inc.), including as Vice President of Finance for Global Advertising, Finance Director of Corporate Revenue and Product Profitability, and in various international finance leadership positions based in Asia and Europe. Prior to Alphabet Inc., Mr. Datta worked at Artisan Capital, a private investment group, from November 2002 to May 2005, sourcing and reviewing prospective private equity investments, and worked at Deloitte Consulting, a consulting firm, from June 1996 to July 2000. Mr. Datta holds a joint honors degree in Economics and Finance from McGill University in Montreal and an M.B.A. from Stanford University.</w:t>
      </w:r>
    </w:p>
    <w:p>
      <w:pPr>
        <w:spacing w:after="0" w:line="183"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Andrea Blankmeyer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Blankmeyer has served as our Chief Financial Officer since March 2026. Ms. Blankmeyer previously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Cityblock Health, Inc., a private tech driven healthcare provider for communities with complex needs, from August 2020 to March 2026. Prior to Cityblock Health, Ms. Blankmeyer served as the Chief Financial Officer of Transfix, Inc., a B2B freight marketplace, from September 2018 to August 2020, and served in various roles at SoFi Technologies, Inc., a financial technology company, from June 2015 to July 2018 (including as SoFi’s Vice President of Finance from July 2016 to July 2018). Ms. Blankmeyer studied at Harvard Business School for an M.B.A. and received her B.A. in Economics and East Asian Studies from Harvard College.</w:t>
      </w:r>
    </w:p>
    <w:p>
      <w:pPr>
        <w:spacing w:after="0" w:line="18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Darling. </w:t>
      </w:r>
      <w:r>
        <w:rPr>
          <w:rFonts w:ascii="Times New Roman" w:cs="Times New Roman" w:eastAsia="Times New Roman" w:hAnsi="Times New Roman"/>
          <w:sz w:val="18"/>
          <w:szCs w:val="18"/>
          <w:color w:val="auto"/>
        </w:rPr>
        <w:t>Mr. Darling has served as our Chief Legal Officer and Corporate Secretary since December 2022. From October 2016 to November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Mr. Darling served as Chief Legal Officer at Stitch Fix, Inc., an online personal styling service. Prior to joining Stitch Fix, Inc., Mr. Darling served as Chief Legal Officer and Corporate Secretary of Beepi, Inc., an online automobile retailer, from August 2015 to May 2016, and Vice President, General Counsel and Corporate Secretary of Trulia, Inc., a home search marketplace, from October 2011 to August 2015. Earlier in his career, he served as Vice President, General Counsel and Corporate Secretary at Imperva Inc., a cybersecurity company, and as Senior Attorney with Microsoft Corporation, a multinational technology company. Mr. Darling started his career with the law firm, Gunderson Dettmer Stough Villeneuve Franklin &amp; Hachigian, LLP. Mr. Darling holds a B.A. in Ethics, Politics, and Economics from Yale University and a J.D. from the University of Michigan.</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(“CD&amp;A”) explains the design of our executive compensation program, the principles that guide it, and how it was applied in 2025. It describes the objectives of each element of compensation, how performance outcomes influenced compensation decisions, and how the compensation committee of our Board of Directors determined compensation for our principal executive officer, principal financial officer, and our two other executive officers (collectively, our “Named Executive Officers”). For 2025, our Named Executive Officers were: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80" w:type="dxa"/>
            <w:vAlign w:val="bottom"/>
          </w:tcPr>
          <w:p>
            <w:pPr>
              <w:spacing w:after="0"/>
              <w:rPr>
                <w:sz w:val="15"/>
                <w:szCs w:val="15"/>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70"/>
        </w:trPr>
        <w:tc>
          <w:tcPr>
            <w:tcW w:w="3740" w:type="dxa"/>
            <w:vAlign w:val="bottom"/>
            <w:tcBorders>
              <w:bottom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Dave Girouard</w:t>
            </w:r>
          </w:p>
        </w:tc>
        <w:tc>
          <w:tcPr>
            <w:tcW w:w="7280" w:type="dxa"/>
            <w:vAlign w:val="bottom"/>
            <w:tcBorders>
              <w:bottom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Co-founder and Chief Executive Officer (our “CEO”)</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Datta</w:t>
            </w: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(our “CFO”)</w:t>
            </w:r>
          </w:p>
        </w:tc>
      </w:tr>
      <w:tr>
        <w:trPr>
          <w:trHeight w:val="27"/>
        </w:trPr>
        <w:tc>
          <w:tcPr>
            <w:tcW w:w="3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780" w:type="dxa"/>
            <w:vAlign w:val="bottom"/>
          </w:tcPr>
          <w:p>
            <w:pPr>
              <w:spacing w:after="0"/>
              <w:rPr>
                <w:sz w:val="2"/>
                <w:szCs w:val="2"/>
                <w:color w:val="auto"/>
              </w:rPr>
            </w:pPr>
          </w:p>
        </w:tc>
      </w:tr>
      <w:tr>
        <w:trPr>
          <w:trHeight w:val="277"/>
        </w:trPr>
        <w:tc>
          <w:tcPr>
            <w:tcW w:w="3740" w:type="dxa"/>
            <w:vAlign w:val="bottom"/>
            <w:tcBorders>
              <w:bottom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Paul Gu</w:t>
            </w:r>
          </w:p>
        </w:tc>
        <w:tc>
          <w:tcPr>
            <w:tcW w:w="7280" w:type="dxa"/>
            <w:vAlign w:val="bottom"/>
            <w:tcBorders>
              <w:bottom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Co-founder and Chief Technology Officer (our “CTO”)</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Darling</w:t>
            </w: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Who We Are</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Upstart was founded in 2012 by Dave Girouard, Paul Gu and Anna Counselman to improve financial lending through a more accurate credit model. Our mission is to radically reduce the cost and complexity of borrowing for all Americans by using our proprietary artificial intelligence (“AI”) models to remake the entire lending process. Long-term, our vision is to become the always-on, everything-store for credit, where we can automatically approve borrowers at the right prices – instantly and effortlessly.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Business Highlights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2025, we returned to full-year GAAP profitability for the first time since 2021 and delivered our strongest Adjusted EBITDA margin since the first quarter of 2022. Our 2025 business highlights include:</w:t>
      </w:r>
    </w:p>
    <w:p>
      <w:pPr>
        <w:spacing w:after="0" w:line="65" w:lineRule="exact"/>
        <w:rPr>
          <w:sz w:val="20"/>
          <w:szCs w:val="20"/>
          <w:color w:val="auto"/>
        </w:rPr>
      </w:pPr>
    </w:p>
    <w:p>
      <w:pPr>
        <w:ind w:left="1080" w:right="200" w:hanging="424"/>
        <w:spacing w:after="0" w:line="284"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Volume and Conversion Rate</w:t>
      </w:r>
      <w:r>
        <w:rPr>
          <w:rFonts w:ascii="Times New Roman" w:cs="Times New Roman" w:eastAsia="Times New Roman" w:hAnsi="Times New Roman"/>
          <w:sz w:val="18"/>
          <w:szCs w:val="18"/>
          <w:color w:val="auto"/>
        </w:rPr>
        <w:t>: 1,497,149 loans originated, up 115% from the prior year, reflecting a 19.4% Conversion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from 15.1% in 2024. Total originations were roughly $11.0 billion, up 86% from 2024.</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$1.0 billion, up 64% from 2024. Revenue from fees was $950 million, up 49% from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(Loss) from Operations: </w:t>
      </w:r>
      <w:r>
        <w:rPr>
          <w:rFonts w:ascii="Times New Roman" w:cs="Times New Roman" w:eastAsia="Times New Roman" w:hAnsi="Times New Roman"/>
          <w:sz w:val="18"/>
          <w:szCs w:val="18"/>
          <w:color w:val="auto"/>
        </w:rPr>
        <w:t>$42.6 million, an improvement from ($173) million in 2024.</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$53.6 million, an improvement from ($129) million in 2024. Diluted net income (loss) per share was $0.45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($1.44) in 2024.</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Profit: </w:t>
      </w:r>
      <w:r>
        <w:rPr>
          <w:rFonts w:ascii="Times New Roman" w:cs="Times New Roman" w:eastAsia="Times New Roman" w:hAnsi="Times New Roman"/>
          <w:sz w:val="18"/>
          <w:szCs w:val="18"/>
          <w:color w:val="auto"/>
        </w:rPr>
        <w:t>$531 million, up 39% from 2024. Contribution Margin was 56%, versus 60% in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$230 million, up from $10.6 million in 2024. Adjusted EBITDA Margin was 22%, up from 2% in 2024.</w:t>
      </w:r>
    </w:p>
    <w:p>
      <w:pPr>
        <w:spacing w:after="0" w:line="22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certain non-GAAP financial measures and key operating metrics, including Transaction Volume, Conversion Rate, Adjusted EBITDA and Adjusted EBITDA Margin, are useful in evaluating our operating performance. For a full reconciliation for each of these non-GAAP financial measures to the most directly comparable financial measure stated in accordance with GAAP, please see our 2025 Annual Report on Form 10-K for the fiscal year ended December 31, 2025 as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filed with the SEC on February 10, 2026, and Exhibit 99.1 to our Current Report on Form 8-K filed with the SEC on February 10,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Executive Compensation Highlights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Consistent with our compensation philosophy, the compensation committee approved the following compensation actions for our Named Executive Officers in 2025, resulting in the pay outcomes described below.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Variable and Performance-Based Compensation</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Executive compensation varies annually based on company and individual performance. Our program emphasizes variable compensation (consisting of bonuses and equity awards) over fixed compensation (consisting of base salary) and balances short-term and long-term incentives, as well as performance-based and time-based equity and is set out in a way that tightly aligns compensation with Upstart’s strategic goals.</w:t>
      </w:r>
    </w:p>
    <w:p>
      <w:pPr>
        <w:spacing w:after="0" w:line="7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Cash Incentive</w:t>
      </w:r>
    </w:p>
    <w:p>
      <w:pPr>
        <w:spacing w:after="0" w:line="121" w:lineRule="exact"/>
        <w:rPr>
          <w:rFonts w:ascii="Times New Roman" w:cs="Times New Roman" w:eastAsia="Times New Roman" w:hAnsi="Times New Roman"/>
          <w:sz w:val="18"/>
          <w:szCs w:val="18"/>
          <w:color w:val="auto"/>
        </w:rPr>
      </w:pPr>
    </w:p>
    <w:p>
      <w:pPr>
        <w:ind w:left="110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Named Executive Officers, the bonus pool was funded based entirely on corporate financial performance metrics, specifically Revenue from Fees (as defined below), and subject to achievement of an annual Net Income hurdle. For Named Executive Officers other than our CEO, payouts were further adjusted by an individual performance multiplier. This structure reinforces accountability for profitable growth of the top line.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CEO Long-Term Incentive</w:t>
      </w:r>
    </w:p>
    <w:p>
      <w:pPr>
        <w:spacing w:after="0" w:line="121" w:lineRule="exact"/>
        <w:rPr>
          <w:rFonts w:ascii="Times New Roman" w:cs="Times New Roman" w:eastAsia="Times New Roman" w:hAnsi="Times New Roman"/>
          <w:sz w:val="18"/>
          <w:szCs w:val="18"/>
          <w:color w:val="auto"/>
        </w:rPr>
      </w:pPr>
    </w:p>
    <w:p>
      <w:pPr>
        <w:ind w:left="1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our CEO’s long-term and performance incentive was delivered exclusively in stock options, reinforcing our emphasis on leadership accountability and direct alignment with stockholder value creation. Stock options deliver value only to the extent that sustained stock price appreciation is achieved over the multi-year vesting period, creating a strong linkage between realized compensation and long-term performance. The compensation committee determined that this structure provided a clear, performance-oriented framework for 2025, directly tying the CEO’s long-term outcomes to the experience of our stockholders and mitigating the risk of pay outcomes that are not supported by sustained market value creation.</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NEO Long-Term Incentives</w:t>
      </w:r>
    </w:p>
    <w:p>
      <w:pPr>
        <w:spacing w:after="0" w:line="121" w:lineRule="exact"/>
        <w:rPr>
          <w:rFonts w:ascii="Times New Roman" w:cs="Times New Roman" w:eastAsia="Times New Roman" w:hAnsi="Times New Roman"/>
          <w:sz w:val="18"/>
          <w:szCs w:val="18"/>
          <w:color w:val="auto"/>
        </w:rPr>
      </w:pPr>
    </w:p>
    <w:p>
      <w:pPr>
        <w:ind w:left="110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for our other Named Executive Officers consisted of an equal mix of RSUs and stock options. This combination promotes sustained multi-year performance, stockholder alignment, and executive retention, while also serving as a critical mechanism for maintaining competitive total direct compensation for these Named Executive Officers. In particular, because we take a conservative approach to total cash compensation relative to standard market practice, long-term equity comprises a larger proportion of overall target compensation and is the primary vehicle through which we deliver competitive pay. In this framework RSUs provide retention value and relative stability across market cycles, reinforcing continuity of leadership, while stock options maintain strong upside alignment with long-term share price appreciation and stockholder value creation.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percentages of target variable pay versus target fixed pay for our CEO and our other Named Executive Officers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940" w:type="dxa"/>
            <w:vAlign w:val="bottom"/>
          </w:tcPr>
          <w:p>
            <w:pPr>
              <w:spacing w:after="0"/>
              <w:rPr>
                <w:sz w:val="13"/>
                <w:szCs w:val="13"/>
                <w:color w:val="auto"/>
              </w:rPr>
            </w:pPr>
          </w:p>
        </w:tc>
        <w:tc>
          <w:tcPr>
            <w:tcW w:w="25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Fixed pay as a percentage</w:t>
            </w:r>
          </w:p>
        </w:tc>
        <w:tc>
          <w:tcPr>
            <w:tcW w:w="2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Variable pay as a percentage</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1940" w:type="dxa"/>
            <w:vAlign w:val="bottom"/>
          </w:tcPr>
          <w:p>
            <w:pPr>
              <w:spacing w:after="0"/>
              <w:rPr>
                <w:sz w:val="15"/>
                <w:szCs w:val="15"/>
                <w:color w:val="auto"/>
              </w:rPr>
            </w:pPr>
          </w:p>
        </w:tc>
        <w:tc>
          <w:tcPr>
            <w:tcW w:w="254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of total target direct compensation</w:t>
            </w:r>
          </w:p>
        </w:tc>
        <w:tc>
          <w:tcPr>
            <w:tcW w:w="232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of total target direct compensation</w:t>
            </w:r>
          </w:p>
        </w:tc>
        <w:tc>
          <w:tcPr>
            <w:tcW w:w="0" w:type="dxa"/>
            <w:vAlign w:val="bottom"/>
          </w:tcPr>
          <w:p>
            <w:pPr>
              <w:spacing w:after="0"/>
              <w:rPr>
                <w:sz w:val="1"/>
                <w:szCs w:val="1"/>
                <w:color w:val="auto"/>
              </w:rPr>
            </w:pPr>
          </w:p>
        </w:tc>
      </w:tr>
      <w:tr>
        <w:trPr>
          <w:trHeight w:val="28"/>
        </w:trPr>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Girouard</w:t>
            </w:r>
          </w:p>
        </w:tc>
        <w:tc>
          <w:tcPr>
            <w:tcW w:w="44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w:t>
            </w:r>
          </w:p>
        </w:tc>
        <w:tc>
          <w:tcPr>
            <w:tcW w:w="2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Sanjay Datta</w:t>
            </w:r>
          </w:p>
        </w:tc>
        <w:tc>
          <w:tcPr>
            <w:tcW w:w="4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81"/>
        </w:trPr>
        <w:tc>
          <w:tcPr>
            <w:tcW w:w="156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Gu</w:t>
            </w:r>
          </w:p>
        </w:tc>
        <w:tc>
          <w:tcPr>
            <w:tcW w:w="44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2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Scott Darling</w:t>
            </w:r>
          </w:p>
        </w:tc>
        <w:tc>
          <w:tcPr>
            <w:tcW w:w="4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15.8%</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391"/>
        </w:trPr>
        <w:tc>
          <w:tcPr>
            <w:tcW w:w="1560" w:type="dxa"/>
            <w:vAlign w:val="bottom"/>
          </w:tcPr>
          <w:p>
            <w:pPr>
              <w:spacing w:after="0"/>
              <w:rPr>
                <w:sz w:val="24"/>
                <w:szCs w:val="24"/>
                <w:color w:val="auto"/>
              </w:rPr>
            </w:pPr>
          </w:p>
        </w:tc>
        <w:tc>
          <w:tcPr>
            <w:tcW w:w="406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Philosophy and Guiding Principles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Philosophy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executive compensation program is grounded in the following principles:</w:t>
      </w:r>
    </w:p>
    <w:p>
      <w:pPr>
        <w:spacing w:after="0" w:line="12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Align long-term interests</w:t>
      </w:r>
    </w:p>
    <w:p>
      <w:pPr>
        <w:spacing w:after="0" w:line="121" w:lineRule="exact"/>
        <w:rPr>
          <w:rFonts w:ascii="Times New Roman" w:cs="Times New Roman" w:eastAsia="Times New Roman" w:hAnsi="Times New Roman"/>
          <w:sz w:val="18"/>
          <w:szCs w:val="18"/>
          <w:color w:val="auto"/>
        </w:rPr>
      </w:pPr>
    </w:p>
    <w:p>
      <w:pPr>
        <w:ind w:left="1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align the interests of our executives with those of our stockholders, borrowers on the Upstart marketplace, and our lending partners. A significant portion of compensation is variable and performance-based, with metrics that balance annual financial objectives and long-term share price appreciation.</w:t>
      </w:r>
    </w:p>
    <w:p>
      <w:pPr>
        <w:spacing w:after="0" w:line="7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Attract and retain exceptional talent</w:t>
      </w:r>
    </w:p>
    <w:p>
      <w:pPr>
        <w:spacing w:after="0" w:line="121" w:lineRule="exact"/>
        <w:rPr>
          <w:rFonts w:ascii="Times New Roman" w:cs="Times New Roman" w:eastAsia="Times New Roman" w:hAnsi="Times New Roman"/>
          <w:sz w:val="18"/>
          <w:szCs w:val="18"/>
          <w:color w:val="auto"/>
        </w:rPr>
      </w:pPr>
    </w:p>
    <w:p>
      <w:pPr>
        <w:ind w:left="110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for leadership in dynamic markets. Our compensation program is designed to be market-informed and competitive, enabling us to attract, motivate, and retain high-impact leaders. We regularly compare ourselves against relevant talent peers and periodically review our total rewards framework for our executives to ensure continued competitiveness.</w:t>
      </w:r>
    </w:p>
    <w:p>
      <w:pPr>
        <w:spacing w:after="0" w:line="7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Promote shared accountability</w:t>
      </w:r>
    </w:p>
    <w:p>
      <w:pPr>
        <w:spacing w:after="0" w:line="121" w:lineRule="exact"/>
        <w:rPr>
          <w:rFonts w:ascii="Times New Roman" w:cs="Times New Roman" w:eastAsia="Times New Roman" w:hAnsi="Times New Roman"/>
          <w:sz w:val="18"/>
          <w:szCs w:val="18"/>
          <w:color w:val="auto"/>
        </w:rPr>
      </w:pPr>
    </w:p>
    <w:p>
      <w:pPr>
        <w:ind w:left="1100" w:righ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 participate in equity awards and annual incentive opportunities tied to company-wide objectives. This structure reinforces collective responsibility for enterprise performance and long-term value creation.</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Recognize leadership impact</w:t>
      </w:r>
    </w:p>
    <w:p>
      <w:pPr>
        <w:spacing w:after="0" w:line="121" w:lineRule="exact"/>
        <w:rPr>
          <w:rFonts w:ascii="Times New Roman" w:cs="Times New Roman" w:eastAsia="Times New Roman" w:hAnsi="Times New Roman"/>
          <w:sz w:val="18"/>
          <w:szCs w:val="18"/>
          <w:color w:val="auto"/>
        </w:rPr>
      </w:pPr>
    </w:p>
    <w:p>
      <w:pPr>
        <w:ind w:left="11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market data informs our decisions, final compensation decisions reflect the scope, complexity, and impact of each executive’s contributions. We emphasize outcomes and enterprise leadership over title alone, recognizing that executive value creation extends beyond functional responsibilities.</w:t>
      </w:r>
    </w:p>
    <w:p>
      <w:pPr>
        <w:spacing w:after="0" w:line="7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 for performance</w:t>
      </w:r>
    </w:p>
    <w:p>
      <w:pPr>
        <w:spacing w:after="0" w:line="121" w:lineRule="exact"/>
        <w:rPr>
          <w:rFonts w:ascii="Times New Roman" w:cs="Times New Roman" w:eastAsia="Times New Roman" w:hAnsi="Times New Roman"/>
          <w:sz w:val="18"/>
          <w:szCs w:val="18"/>
          <w:color w:val="auto"/>
        </w:rPr>
      </w:pPr>
    </w:p>
    <w:p>
      <w:pPr>
        <w:ind w:left="110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majority of executive compensation is at risk and tied to measurable performance outcomes. Higher compensation is earned only when performance delivers meaningful results that we believe support sustainable stockholder value.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and Ongoing Review</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evaluates market trends, evolving best practices, and the effectiveness of various compensation vehicles in supporting our strategy. In designing and administering our program, the compensation committee considers competitive positioning, performance alignment, risk management, tax efficiency, and overall financial impact. No single factor is assigned a predetermined weighting.</w:t>
      </w:r>
    </w:p>
    <w:p>
      <w:pPr>
        <w:spacing w:after="0" w:line="28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reviews our executive compensation program at least annually and will continue to refine the program as Upstart’s business, talent needs, and market conditions evolve.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including compensation-related corporate governance standards, consistent with our executive compensation philosophy. For 2025,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117" w:lineRule="exact"/>
        <w:rPr>
          <w:sz w:val="20"/>
          <w:szCs w:val="20"/>
          <w:color w:val="auto"/>
        </w:rPr>
      </w:pPr>
    </w:p>
    <w:p>
      <w:pPr>
        <w:ind w:left="5540" w:right="1060" w:hanging="5424"/>
        <w:spacing w:after="0" w:line="458" w:lineRule="auto"/>
        <w:tabs>
          <w:tab w:leader="none" w:pos="315"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Compensation Committee Independence </w:t>
      </w:r>
      <w:r>
        <w:rPr>
          <w:rFonts w:ascii="Times New Roman" w:cs="Times New Roman" w:eastAsia="Times New Roman" w:hAnsi="Times New Roman"/>
          <w:sz w:val="18"/>
          <w:szCs w:val="18"/>
          <w:color w:val="auto"/>
        </w:rPr>
        <w:t>– Our Board maintains a compensation committee composed solely of independent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580" w:hanging="4"/>
        <w:spacing w:after="0" w:line="268" w:lineRule="auto"/>
        <w:tabs>
          <w:tab w:leader="none" w:pos="313"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Compensation Committee Advisor Independence </w:t>
      </w:r>
      <w:r>
        <w:rPr>
          <w:rFonts w:ascii="Times New Roman" w:cs="Times New Roman" w:eastAsia="Times New Roman" w:hAnsi="Times New Roman"/>
          <w:sz w:val="18"/>
          <w:szCs w:val="18"/>
          <w:color w:val="auto"/>
        </w:rPr>
        <w:t>– The compensation committee engages and retains its own advisors. Since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has engaged Compensia to assist in carrying out its responsibilities. Compensia performed no other consulting or other services for us in 2025.</w:t>
      </w:r>
    </w:p>
    <w:p>
      <w:pPr>
        <w:spacing w:after="0" w:line="170" w:lineRule="exact"/>
        <w:rPr>
          <w:rFonts w:ascii="MS PGothic" w:cs="MS PGothic" w:eastAsia="MS PGothic" w:hAnsi="MS PGothic"/>
          <w:sz w:val="18"/>
          <w:szCs w:val="18"/>
          <w:color w:val="auto"/>
        </w:rPr>
      </w:pPr>
    </w:p>
    <w:p>
      <w:pPr>
        <w:ind w:left="120" w:right="320" w:hanging="4"/>
        <w:spacing w:after="0" w:line="286" w:lineRule="auto"/>
        <w:tabs>
          <w:tab w:leader="none" w:pos="313"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Annual Compensation Review </w:t>
      </w:r>
      <w:r>
        <w:rPr>
          <w:rFonts w:ascii="Times New Roman" w:cs="Times New Roman" w:eastAsia="Times New Roman" w:hAnsi="Times New Roman"/>
          <w:sz w:val="18"/>
          <w:szCs w:val="18"/>
          <w:color w:val="auto"/>
        </w:rPr>
        <w:t>– The compensation committee conducts a review of our executive compensation philosophy and strategy at least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annually, including a review of the compensation peer group used for comparative purposes.</w:t>
      </w:r>
    </w:p>
    <w:p>
      <w:pPr>
        <w:spacing w:after="0" w:line="154" w:lineRule="exact"/>
        <w:rPr>
          <w:rFonts w:ascii="MS PGothic" w:cs="MS PGothic" w:eastAsia="MS PGothic" w:hAnsi="MS PGothic"/>
          <w:sz w:val="18"/>
          <w:szCs w:val="18"/>
          <w:color w:val="auto"/>
        </w:rPr>
      </w:pPr>
    </w:p>
    <w:p>
      <w:pPr>
        <w:ind w:left="120" w:right="240" w:hanging="4"/>
        <w:spacing w:after="0" w:line="268" w:lineRule="auto"/>
        <w:tabs>
          <w:tab w:leader="none" w:pos="313"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Emphasize Performance-Based Incentive Compensation </w:t>
      </w:r>
      <w:r>
        <w:rPr>
          <w:rFonts w:ascii="Times New Roman" w:cs="Times New Roman" w:eastAsia="Times New Roman" w:hAnsi="Times New Roman"/>
          <w:sz w:val="18"/>
          <w:szCs w:val="18"/>
          <w:color w:val="auto"/>
        </w:rPr>
        <w:t>– The compensation committee designs our executive compensation program to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performance-based short-term cash incentive awards (i.e., our Bonus Plan) and long-term incentive compensation awards in the form of stock options and RSU awards to align the interests of our executives, with the interests of our stockholders.</w:t>
      </w:r>
    </w:p>
    <w:p>
      <w:pPr>
        <w:spacing w:after="0" w:line="170" w:lineRule="exact"/>
        <w:rPr>
          <w:rFonts w:ascii="MS PGothic" w:cs="MS PGothic" w:eastAsia="MS PGothic" w:hAnsi="MS PGothic"/>
          <w:sz w:val="18"/>
          <w:szCs w:val="18"/>
          <w:color w:val="auto"/>
        </w:rPr>
      </w:pPr>
    </w:p>
    <w:p>
      <w:pPr>
        <w:ind w:left="120" w:right="100" w:hanging="4"/>
        <w:spacing w:after="0" w:line="268" w:lineRule="auto"/>
        <w:tabs>
          <w:tab w:leader="none" w:pos="313"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Emphasize Long-Term Equity Compensation </w:t>
      </w:r>
      <w:r>
        <w:rPr>
          <w:rFonts w:ascii="Times New Roman" w:cs="Times New Roman" w:eastAsia="Times New Roman" w:hAnsi="Times New Roman"/>
          <w:sz w:val="18"/>
          <w:szCs w:val="18"/>
          <w:color w:val="auto"/>
        </w:rPr>
        <w:t>– The compensation committee uses equity awards to deliver long-term incentive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opportunities to our executives. These equity awards vest or may be earned over multi-year periods, which is consistent with market practice and better serves our long-term value creation goals and retention objectives.</w:t>
      </w:r>
    </w:p>
    <w:p>
      <w:pPr>
        <w:spacing w:after="0" w:line="170" w:lineRule="exact"/>
        <w:rPr>
          <w:rFonts w:ascii="MS PGothic" w:cs="MS PGothic" w:eastAsia="MS PGothic" w:hAnsi="MS PGothic"/>
          <w:sz w:val="18"/>
          <w:szCs w:val="18"/>
          <w:color w:val="auto"/>
        </w:rPr>
      </w:pPr>
    </w:p>
    <w:p>
      <w:pPr>
        <w:ind w:left="120" w:right="560" w:hanging="4"/>
        <w:spacing w:after="0" w:line="268" w:lineRule="auto"/>
        <w:tabs>
          <w:tab w:leader="none" w:pos="313"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Limited Executive Perquisites </w:t>
      </w:r>
      <w:r>
        <w:rPr>
          <w:rFonts w:ascii="Times New Roman" w:cs="Times New Roman" w:eastAsia="Times New Roman" w:hAnsi="Times New Roman"/>
          <w:sz w:val="18"/>
          <w:szCs w:val="18"/>
          <w:color w:val="auto"/>
        </w:rPr>
        <w:t>– We do not view perquisites or other personal benefits as important to achieving our compensation objectives.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Accordingly, we do not provide perquisites or other personal benefits to our executives except where we believe it is appropriate to achieve our compensation objectives and to assist our executive officers in the performance of their duties.</w:t>
      </w:r>
    </w:p>
    <w:p>
      <w:pPr>
        <w:spacing w:after="0" w:line="170" w:lineRule="exact"/>
        <w:rPr>
          <w:rFonts w:ascii="MS PGothic" w:cs="MS PGothic" w:eastAsia="MS PGothic" w:hAnsi="MS PGothic"/>
          <w:sz w:val="18"/>
          <w:szCs w:val="18"/>
          <w:color w:val="auto"/>
        </w:rPr>
      </w:pPr>
    </w:p>
    <w:p>
      <w:pPr>
        <w:ind w:left="120" w:right="140" w:hanging="4"/>
        <w:spacing w:after="0" w:line="286" w:lineRule="auto"/>
        <w:tabs>
          <w:tab w:leader="none" w:pos="313"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Consistent Benefits for All Employees </w:t>
      </w:r>
      <w:r>
        <w:rPr>
          <w:rFonts w:ascii="Times New Roman" w:cs="Times New Roman" w:eastAsia="Times New Roman" w:hAnsi="Times New Roman"/>
          <w:sz w:val="18"/>
          <w:szCs w:val="18"/>
          <w:color w:val="auto"/>
        </w:rPr>
        <w:t>– During 2025, our executives received only those health and wellness benefits generally available to all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under our health and wellness program.</w:t>
      </w:r>
    </w:p>
    <w:p>
      <w:pPr>
        <w:spacing w:after="0" w:line="154" w:lineRule="exact"/>
        <w:rPr>
          <w:rFonts w:ascii="MS PGothic" w:cs="MS PGothic" w:eastAsia="MS PGothic" w:hAnsi="MS PGothic"/>
          <w:sz w:val="18"/>
          <w:szCs w:val="18"/>
          <w:color w:val="auto"/>
        </w:rPr>
      </w:pPr>
    </w:p>
    <w:p>
      <w:pPr>
        <w:ind w:left="120" w:hanging="4"/>
        <w:spacing w:after="0" w:line="262" w:lineRule="auto"/>
        <w:tabs>
          <w:tab w:leader="none" w:pos="313"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“Double-Trigger” Change in Control Arrangements </w:t>
      </w:r>
      <w:r>
        <w:rPr>
          <w:rFonts w:ascii="Times New Roman" w:cs="Times New Roman" w:eastAsia="Times New Roman" w:hAnsi="Times New Roman"/>
          <w:sz w:val="18"/>
          <w:szCs w:val="18"/>
          <w:color w:val="auto"/>
        </w:rPr>
        <w:t>– Under our post-employment compensation arrangements for our executives, there are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made because of the occurrence of a change in control of Upstart. All change in control payments and benefits are based on a “double-trigger” arrangement that provides for the receipt of payments and benefits only in the event of both (i) a change in control of Upstart and (ii) a qualifying termination of employment.</w:t>
      </w:r>
    </w:p>
    <w:p>
      <w:pPr>
        <w:spacing w:after="0" w:line="176" w:lineRule="exact"/>
        <w:rPr>
          <w:rFonts w:ascii="MS PGothic" w:cs="MS PGothic" w:eastAsia="MS PGothic" w:hAnsi="MS PGothic"/>
          <w:sz w:val="18"/>
          <w:szCs w:val="18"/>
          <w:color w:val="auto"/>
        </w:rPr>
      </w:pPr>
    </w:p>
    <w:p>
      <w:pPr>
        <w:ind w:left="120" w:right="380" w:hanging="4"/>
        <w:spacing w:after="0" w:line="286" w:lineRule="auto"/>
        <w:tabs>
          <w:tab w:leader="none" w:pos="313"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Reasonable Change-in-Control Arrangements </w:t>
      </w:r>
      <w:r>
        <w:rPr>
          <w:rFonts w:ascii="Times New Roman" w:cs="Times New Roman" w:eastAsia="Times New Roman" w:hAnsi="Times New Roman"/>
          <w:sz w:val="18"/>
          <w:szCs w:val="18"/>
          <w:color w:val="auto"/>
        </w:rPr>
        <w:t>– The post-employment compensation arrangements for our executives provide for amounts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multiples that are within reasonable market norms.</w:t>
      </w:r>
    </w:p>
    <w:p>
      <w:pPr>
        <w:spacing w:after="0" w:line="154" w:lineRule="exact"/>
        <w:rPr>
          <w:rFonts w:ascii="MS PGothic" w:cs="MS PGothic" w:eastAsia="MS PGothic" w:hAnsi="MS PGothic"/>
          <w:sz w:val="18"/>
          <w:szCs w:val="18"/>
          <w:color w:val="auto"/>
        </w:rPr>
      </w:pPr>
    </w:p>
    <w:p>
      <w:pPr>
        <w:ind w:left="120" w:right="440" w:hanging="4"/>
        <w:spacing w:after="0" w:line="286" w:lineRule="auto"/>
        <w:tabs>
          <w:tab w:leader="none" w:pos="313"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 Our Board reviews the risks associated with our key executive positions on an annual basis so that we have an adequate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succession strategy and plans are in place for our most critical positions.</w:t>
      </w:r>
    </w:p>
    <w:p>
      <w:pPr>
        <w:spacing w:after="0" w:line="154" w:lineRule="exact"/>
        <w:rPr>
          <w:rFonts w:ascii="MS PGothic" w:cs="MS PGothic" w:eastAsia="MS PGothic" w:hAnsi="MS PGothic"/>
          <w:sz w:val="18"/>
          <w:szCs w:val="18"/>
          <w:color w:val="auto"/>
        </w:rPr>
      </w:pPr>
    </w:p>
    <w:p>
      <w:pPr>
        <w:ind w:left="120" w:right="300" w:hanging="4"/>
        <w:spacing w:after="0" w:line="286" w:lineRule="auto"/>
        <w:tabs>
          <w:tab w:leader="none" w:pos="313"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Stock Ownership Guidelines </w:t>
      </w:r>
      <w:r>
        <w:rPr>
          <w:rFonts w:ascii="Times New Roman" w:cs="Times New Roman" w:eastAsia="Times New Roman" w:hAnsi="Times New Roman"/>
          <w:sz w:val="18"/>
          <w:szCs w:val="18"/>
          <w:color w:val="auto"/>
        </w:rPr>
        <w:t>– Our Board has instituted minimum stock ownership guidelines to further align the interests of our executives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of our stockholders.</w:t>
      </w:r>
    </w:p>
    <w:p>
      <w:pPr>
        <w:spacing w:after="0" w:line="154" w:lineRule="exact"/>
        <w:rPr>
          <w:rFonts w:ascii="MS PGothic" w:cs="MS PGothic" w:eastAsia="MS PGothic" w:hAnsi="MS PGothic"/>
          <w:sz w:val="18"/>
          <w:szCs w:val="18"/>
          <w:color w:val="auto"/>
        </w:rPr>
      </w:pPr>
    </w:p>
    <w:p>
      <w:pPr>
        <w:ind w:left="120" w:right="440" w:hanging="4"/>
        <w:spacing w:after="0" w:line="286" w:lineRule="auto"/>
        <w:tabs>
          <w:tab w:leader="none" w:pos="313"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Compensation Recovery Policy </w:t>
      </w:r>
      <w:r>
        <w:rPr>
          <w:rFonts w:ascii="Times New Roman" w:cs="Times New Roman" w:eastAsia="Times New Roman" w:hAnsi="Times New Roman"/>
          <w:sz w:val="18"/>
          <w:szCs w:val="18"/>
          <w:color w:val="auto"/>
        </w:rPr>
        <w:t>– Our Board has adopted a compensation recovery policy to further our pay-for-performance philosophy and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comply with applicable SEC and Nasdaq requirements.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We Do Not Do</w:t>
      </w:r>
    </w:p>
    <w:p>
      <w:pPr>
        <w:spacing w:after="0" w:line="11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X Retirement Programs </w:t>
      </w:r>
      <w:r>
        <w:rPr>
          <w:rFonts w:ascii="Times New Roman" w:cs="Times New Roman" w:eastAsia="Times New Roman" w:hAnsi="Times New Roman"/>
          <w:sz w:val="18"/>
          <w:szCs w:val="18"/>
          <w:color w:val="auto"/>
        </w:rPr>
        <w:t>– We do not offer any special retirement plans or arrangements or nonqualified deferred compensation plans or arrangements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our executive officers. Our executive officers, including our Named Executive Officers, participate in the same Section 401(k) retirement plan that is generally available to all of our employees.</w:t>
      </w:r>
    </w:p>
    <w:p>
      <w:pPr>
        <w:spacing w:after="0" w:line="171"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X No Tax “Gross-Ups” or Payments </w:t>
      </w:r>
      <w:r>
        <w:rPr>
          <w:rFonts w:ascii="Times New Roman" w:cs="Times New Roman" w:eastAsia="Times New Roman" w:hAnsi="Times New Roman"/>
          <w:sz w:val="18"/>
          <w:szCs w:val="18"/>
          <w:color w:val="auto"/>
        </w:rPr>
        <w:t>– We do not provide any tax “gross-up” or tax payment or reimbursement in connection with any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element (such as perquisites or other personal benefits) or any excise tax “gross-up” or tax payment or reimbursement in connection with any change in control payments or benefits.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X No Dividends on RSU Awards </w:t>
      </w:r>
      <w:r>
        <w:rPr>
          <w:rFonts w:ascii="Times New Roman" w:cs="Times New Roman" w:eastAsia="Times New Roman" w:hAnsi="Times New Roman"/>
          <w:sz w:val="18"/>
          <w:szCs w:val="18"/>
          <w:color w:val="auto"/>
        </w:rPr>
        <w:t>– We do not pay dividends or dividend equivalents on unvested or unearned RSU awards and performance-based RSU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X No Stock Option Repricing </w:t>
      </w:r>
      <w:r>
        <w:rPr>
          <w:rFonts w:ascii="Times New Roman" w:cs="Times New Roman" w:eastAsia="Times New Roman" w:hAnsi="Times New Roman"/>
          <w:sz w:val="18"/>
          <w:szCs w:val="18"/>
          <w:color w:val="auto"/>
        </w:rPr>
        <w:t>– We have not repriced options to purchase shares of our common stock and may not do so without stockholder approval.</w:t>
      </w:r>
    </w:p>
    <w:p>
      <w:pPr>
        <w:spacing w:after="0" w:line="22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X General Prohibition on Hedging and Pledging </w:t>
      </w:r>
      <w:r>
        <w:rPr>
          <w:rFonts w:ascii="Times New Roman" w:cs="Times New Roman" w:eastAsia="Times New Roman" w:hAnsi="Times New Roman"/>
          <w:sz w:val="18"/>
          <w:szCs w:val="18"/>
          <w:color w:val="auto"/>
        </w:rPr>
        <w:t>– Under our Insider Trading Policy, we do not permit our executives to hedge Upstart securities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absent a special waiver, our executives are prohibited from pledging Upstart securities.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Advisory Votes on Named Executive Officer Compensation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Annually, we offer stockholders the opportunity to cast an advisory vote on our executive compensation program (commonly known as a “Say-on-Pay” vote). At the Annual Meeting, we will be conducting a non-binding stockholder advisory vote on the compensation of our Named Executive Officers (see Proposal No. 3 in this proxy statement). At our annual meeting of stockholders held on May 23, 2025, approximately 74% (excluding abstentions and broker non-votes) of the votes were in favor of the Say-on-Pay proposal covering our executive compensation program last year.</w:t>
      </w:r>
    </w:p>
    <w:p>
      <w:pPr>
        <w:spacing w:after="0" w:line="180"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We value the opinions of our stockholders. As discussed above, in 2025 we reached out to and solicited feedback on our executive compensation programs from our top institutional stockholders (see the section titled “</w:t>
      </w:r>
      <w:r>
        <w:rPr>
          <w:rFonts w:ascii="Times New Roman" w:cs="Times New Roman" w:eastAsia="Times New Roman" w:hAnsi="Times New Roman"/>
          <w:sz w:val="18"/>
          <w:szCs w:val="18"/>
          <w:i w:val="1"/>
          <w:iCs w:val="1"/>
          <w:color w:val="auto"/>
        </w:rPr>
        <w:t>Board of Directors and Corporate Governance—Stockholder Engagement</w:t>
      </w:r>
      <w:r>
        <w:rPr>
          <w:rFonts w:ascii="Times New Roman" w:cs="Times New Roman" w:eastAsia="Times New Roman" w:hAnsi="Times New Roman"/>
          <w:sz w:val="18"/>
          <w:szCs w:val="18"/>
          <w:color w:val="auto"/>
        </w:rPr>
        <w:t>” above). Our Board and the compensation committee considered the outcome of the Say-on-Pay vote, as well as feedback received from stockholders, when making compensation decisions for our Named Executive Officers. Although a majority of stockholders expressed support for the compensation of our Named Executive Officers, the compensation committee always values additional stockholder feedback and endeavors to address stockholder concerns. The compensation committee also obtains recommendations on compensation best practices from its independent external compensation consultant, Compensia, and assesses the reports and publications of proxy advisory firms.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establishes our executive compensation philosophy and oversees the design and administration of our executive compensation program. The compensation committee reviews and approves compensation for our executives and ensures that our program supports long-term stockholder value creation, talent retention, and prudent risk management.</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has authority under its charter to retain independent legal counsel, compensation consultants, and other advisors as it deems appropriate. The charter, which is reviewed annually and updated as necessary, is available on our investor relations website.</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While the compensation committee retains full decision-making authority, it considers input from its independent compensation consultant, as well as management, including our CEO, CFO, Chief People Officer, Vice President of Total Rewards, and legal counsel. Management assists in developing recommendations for executive compensation, other than for our CEO.</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approves compensation for all executive officers other than the CEO, including base salary, target annual incentive opportunities, actual incentive payouts, and long-term equity awards. The compensation committee recommends our CEO’s compensation to the independent members of the Board (excluding Messrs. Girouard and Gu), who make the final determination. Our CEO is not present during deliberations regarding his own compensation.</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meets quarterly and calls special meetings as needed, and it periodically reports to and consults with the full Board on compensation matters.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Review Process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At the beginning of each year, the compensation committee reviews our executive compensation program, including incentive plans and equity frameworks, to evaluate whether the program:</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Aligns with our strategy, corporate objectives, and values;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Appropriately balances short-term and long-term incentives;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Supports performance-based outcomes;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Promotes long-term value creation for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Mitigates excessive risk-taking;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Remains competitive within the relevant executive talent market.</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Following this review, the compensation committee makes adjustments as appropriate to existing programs or adopts new structures to ensure continued alignment with business needs and market conditions.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Factors Considered in 2025 Compensation Decisions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determining 2025 compensation for our executive officers, the compensation committee considered a range of qualitative and quantitative factors, including:</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from our CEO (other than with respect to his own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financial performance and overall corporate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short-term and long-term performance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executive performance and leadership impact;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environment and retention considerations;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market data provided by the compensation committee’s independent compensation consultant;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anticipated future contributions;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alignment and organizational equity.</w:t>
      </w:r>
    </w:p>
    <w:p>
      <w:pPr>
        <w:spacing w:after="0" w:line="225" w:lineRule="exact"/>
        <w:rPr>
          <w:sz w:val="20"/>
          <w:szCs w:val="20"/>
          <w:color w:val="auto"/>
        </w:rPr>
      </w:pPr>
    </w:p>
    <w:p>
      <w:pPr>
        <w:jc w:val="both"/>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These factors are not assigned predetermined weightings, nor does the compensation committee apply formulaic decision-making beyond established incentive plan mechanics. Instead, the compensation committee exercises informed judgment, drawing on its members’ experience, knowledge of the Company and its executives, and understanding of the competitive landscape.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part of this process, the compensation committee annually evaluates the CEO’s performance and makes a compensation recommendation to the independent members of the Board, who approve the CEO’s base salary, target incentive opportunities, actual incentive payouts, and long-term equity awards.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our CEO</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CEO works closely with the compensation committee in evaluating and recommending compensation for our other executive officers, all of whom report to him. Our CEO provides input on the design and structure of the annual executive incentive plan and makes recommendations regarding individual compensation actions.</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At the beginning of each year, our CEO assesses the prior-year performance of each executive officer and shares those evaluations with the compensation committee. Based on company performance and his assessment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of each executive’s leadership, impact, and achievement of individual objectives, our CEO recommends adjustments to base salary, target annual incentive opportunities, actual incentive payouts, and long-term equity awards (other than for himself).</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these recommendations in the context of company performance, competitive market data provided by its independent compensation consultant (Compensia), internal pay alignment, retention considerations, and the other factors described above. The compensation committee retains full discretion and independently determines the target total compensation and individual compensation elements for each executive officer other than the CEO.</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CEO recommendations and competitive market data inform, but do not dictate, the compensation committee’s decisions. The compensation committee applies its own judgment and experience in determining final outcomes. No executive officer participates in decisions regarding his or her own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engage its own legal counsel and other advisors, including compensation consultants, as it determines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Since 2021, the compensation committee has engaged Compensia to provide information, analysis, and other assistance relating to our executive compensation program on an ongoing basis. In 2025, pursuant to this authority, the nature and scope of the services provided to the compensation committee by Compensia included the following:</w:t>
      </w:r>
    </w:p>
    <w:p>
      <w:pPr>
        <w:spacing w:after="0" w:line="8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subsequently updated the compensation peer group;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advice with respect to compensation best practices and market trends for our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our executive officers;</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advice and support throughout the year.</w:t>
      </w:r>
    </w:p>
    <w:p>
      <w:pPr>
        <w:spacing w:after="0" w:line="227"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Compensia reports directly to the compensation committee rather than to management, although Compensia may meet with members of management, including our CEO, Chief People Officer and members of our People team, for purposes of gathering information on proposals that management may make to the compensation committee.</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may replace its compensation consultant or hire additional advisors at any time. Compensia did not provide any other consulting or other services to us and has received no compensation other than with respect to the services described above.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Compensia taking into account, among other things, the various factors as set forth in Exchange Act Rule 10C-1 and the enhanced independence standards and factors set forth in the applicable listing standards of the Nasdaq Global Select Market, and has concluded that its relationship with Compensia and the work of Compensia on behalf of the compensation committee has not raised any conflict of interest.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 and Compensation Peer Group</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with support from its independent compensation consultant, develops and periodically reviews a compensation peer group to inform its assessment of competitive market positioning. Peer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group data is supplemented with broader executive compensation survey data drawn from publicly traded technology companies of comparable size, complexity, and growth profile. Market data serves as one reference point in the compensation committee’s deliberations; it does not determine compensation outcomes.</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October 2024, the compensation committee engaged Compensia to review the peer group used to inform 2025 compensation decisions and to assess evolving competitive practices. Compensia conducted a comprehensive evaluation of U.S.-based publicly traded companies, considering factors including:</w:t>
      </w:r>
    </w:p>
    <w:p>
      <w:pPr>
        <w:spacing w:after="0" w:line="81" w:lineRule="exact"/>
        <w:rPr>
          <w:sz w:val="20"/>
          <w:szCs w:val="20"/>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alignment, with emphasis on companies operating in Application/Systems Software, Consumer Finance, Data Processing, Interactive Media &amp; Services, and Internet Services &amp; Infrastructure, particularly those with AI-, fintech-, or cloud-based business models;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size, including revenue, market capitalization, and growth trajectory at the time of review;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model comparability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history and stage of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complexity and scalability;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along the maturity curve, including the executive talent market in which we compete;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performance profile and forward growth expectations.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constructing the peer group, the compensation committee recognized that there is no well-defined or widely accepted peer cohort for emerging AI-enabled fintech platforms. Companies in this sector often span multiple industry classifications and exhibit wide dispersion in business models, capital intensity, regulatory exposure, and volatility profiles. As a result, strict industry matching alone would not yield a sufficiently comparable or stable reference group.</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Accordingly, the compensation committee prioritized a balanced approach that considers talent competition, growth characteristics, business complexity, and capital market profile, rather than relying solely on traditional industry categorization. Following this review, the compensation committee approved a peer group consisting of 22 publicly traded technology-oriented companies.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companies comprising the 2025 compensation peer group were as follows:</w:t>
      </w:r>
    </w:p>
    <w:p>
      <w:pPr>
        <w:spacing w:after="0" w:line="25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2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7"/>
              </w:rPr>
              <w:t>ACI Worldwide</w:t>
            </w:r>
          </w:p>
        </w:tc>
        <w:tc>
          <w:tcPr>
            <w:tcW w:w="470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w w:val="99"/>
              </w:rPr>
              <w:t>MeridianLink</w:t>
            </w:r>
          </w:p>
        </w:tc>
      </w:tr>
      <w:tr>
        <w:trPr>
          <w:trHeight w:val="432"/>
        </w:trPr>
        <w:tc>
          <w:tcPr>
            <w:tcW w:w="23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Affirm Holdings</w:t>
            </w:r>
          </w:p>
        </w:tc>
        <w:tc>
          <w:tcPr>
            <w:tcW w:w="470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rPr>
              <w:t>PagerDuty</w:t>
            </w:r>
          </w:p>
        </w:tc>
      </w:tr>
      <w:tr>
        <w:trPr>
          <w:trHeight w:val="432"/>
        </w:trPr>
        <w:tc>
          <w:tcPr>
            <w:tcW w:w="2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8"/>
              </w:rPr>
              <w:t>Alkami Technology</w:t>
            </w:r>
          </w:p>
        </w:tc>
        <w:tc>
          <w:tcPr>
            <w:tcW w:w="470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rPr>
              <w:t>Paymentus Holdings</w:t>
            </w:r>
          </w:p>
        </w:tc>
      </w:tr>
      <w:tr>
        <w:trPr>
          <w:trHeight w:val="432"/>
        </w:trPr>
        <w:tc>
          <w:tcPr>
            <w:tcW w:w="2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7"/>
              </w:rPr>
              <w:t>Elastic N.V.</w:t>
            </w:r>
          </w:p>
        </w:tc>
        <w:tc>
          <w:tcPr>
            <w:tcW w:w="470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w w:val="99"/>
              </w:rPr>
              <w:t>Payoneer Global</w:t>
            </w:r>
          </w:p>
        </w:tc>
      </w:tr>
      <w:tr>
        <w:trPr>
          <w:trHeight w:val="432"/>
        </w:trPr>
        <w:tc>
          <w:tcPr>
            <w:tcW w:w="23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Flywire</w:t>
            </w:r>
          </w:p>
        </w:tc>
        <w:tc>
          <w:tcPr>
            <w:tcW w:w="470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w w:val="99"/>
              </w:rPr>
              <w:t>PROG Holdings</w:t>
            </w:r>
          </w:p>
        </w:tc>
      </w:tr>
      <w:tr>
        <w:trPr>
          <w:trHeight w:val="432"/>
        </w:trPr>
        <w:tc>
          <w:tcPr>
            <w:tcW w:w="2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8"/>
              </w:rPr>
              <w:t>C3.ai</w:t>
            </w:r>
          </w:p>
        </w:tc>
        <w:tc>
          <w:tcPr>
            <w:tcW w:w="470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w w:val="99"/>
              </w:rPr>
              <w:t>Rapid7</w:t>
            </w:r>
          </w:p>
        </w:tc>
      </w:tr>
      <w:tr>
        <w:trPr>
          <w:trHeight w:val="432"/>
        </w:trPr>
        <w:tc>
          <w:tcPr>
            <w:tcW w:w="2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Intapp</w:t>
            </w:r>
          </w:p>
        </w:tc>
        <w:tc>
          <w:tcPr>
            <w:tcW w:w="470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w w:val="99"/>
              </w:rPr>
              <w:t>Shift4 Payments</w:t>
            </w:r>
          </w:p>
        </w:tc>
      </w:tr>
      <w:tr>
        <w:trPr>
          <w:trHeight w:val="432"/>
        </w:trPr>
        <w:tc>
          <w:tcPr>
            <w:tcW w:w="2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8"/>
              </w:rPr>
              <w:t>Lending Club</w:t>
            </w:r>
          </w:p>
        </w:tc>
        <w:tc>
          <w:tcPr>
            <w:tcW w:w="470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w w:val="99"/>
              </w:rPr>
              <w:t>Smartsheet</w:t>
            </w:r>
          </w:p>
        </w:tc>
      </w:tr>
      <w:tr>
        <w:trPr>
          <w:trHeight w:val="432"/>
        </w:trPr>
        <w:tc>
          <w:tcPr>
            <w:tcW w:w="23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nCino</w:t>
            </w:r>
          </w:p>
        </w:tc>
        <w:tc>
          <w:tcPr>
            <w:tcW w:w="470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w w:val="98"/>
              </w:rPr>
              <w:t>SoFi Technologies</w:t>
            </w:r>
          </w:p>
        </w:tc>
      </w:tr>
      <w:tr>
        <w:trPr>
          <w:trHeight w:val="432"/>
        </w:trPr>
        <w:tc>
          <w:tcPr>
            <w:tcW w:w="23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Marqeta</w:t>
            </w:r>
          </w:p>
        </w:tc>
        <w:tc>
          <w:tcPr>
            <w:tcW w:w="470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rPr>
              <w:t>SPS Commerce</w:t>
            </w:r>
          </w:p>
        </w:tc>
      </w:tr>
      <w:tr>
        <w:trPr>
          <w:trHeight w:val="432"/>
        </w:trPr>
        <w:tc>
          <w:tcPr>
            <w:tcW w:w="2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Q2 Holdings</w:t>
            </w:r>
          </w:p>
        </w:tc>
        <w:tc>
          <w:tcPr>
            <w:tcW w:w="470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w w:val="98"/>
              </w:rPr>
              <w:t>Taboola Software</w:t>
            </w:r>
          </w:p>
        </w:tc>
      </w:tr>
      <w:tr>
        <w:trPr>
          <w:trHeight w:val="364"/>
        </w:trPr>
        <w:tc>
          <w:tcPr>
            <w:tcW w:w="2380" w:type="dxa"/>
            <w:vAlign w:val="bottom"/>
          </w:tcPr>
          <w:p>
            <w:pPr>
              <w:spacing w:after="0"/>
              <w:rPr>
                <w:sz w:val="24"/>
                <w:szCs w:val="24"/>
                <w:color w:val="auto"/>
              </w:rPr>
            </w:pPr>
          </w:p>
        </w:tc>
        <w:tc>
          <w:tcPr>
            <w:tcW w:w="4700" w:type="dxa"/>
            <w:vAlign w:val="bottom"/>
          </w:tcPr>
          <w:p>
            <w:pPr>
              <w:jc w:val="right"/>
              <w:ind w:right="3490"/>
              <w:spacing w:after="0"/>
              <w:rPr>
                <w:sz w:val="20"/>
                <w:szCs w:val="20"/>
                <w:color w:val="auto"/>
              </w:rPr>
            </w:pPr>
            <w:r>
              <w:rPr>
                <w:rFonts w:ascii="Times New Roman" w:cs="Times New Roman" w:eastAsia="Times New Roman" w:hAnsi="Times New Roman"/>
                <w:sz w:val="18"/>
                <w:szCs w:val="18"/>
                <w:color w:val="auto"/>
              </w:rPr>
              <w:t>37</w:t>
            </w:r>
          </w:p>
        </w:tc>
      </w:tr>
    </w:tbl>
    <w:p>
      <w:pPr>
        <w:sectPr>
          <w:pgSz w:w="11900" w:h="16838" w:orient="portrait"/>
          <w:cols w:equalWidth="0" w:num="1">
            <w:col w:w="11100"/>
          </w:cols>
          <w:pgMar w:left="320" w:top="482"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Companies that were removed from the previous peer group include Alteryx (who was acquired) and Green Dot and LivePerson (whose market capitalizations fell below the screening criteria). They were replaced by Alkami Technology, C3.ai, nCino and Q2 Holdings in line with the above mentioned criteria.</w:t>
      </w:r>
    </w:p>
    <w:p>
      <w:pPr>
        <w:spacing w:after="0" w:line="176"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This compensation peer group informed the compensation committee’s annual review of our 2025 executive compensation program. In constructing the group, the compensation committee sought to position Upstart thoughtfully within the range of peer company revenue and market capitalization, as reflected in the table below. The objective was to create a reference set that reflects both the scale of our operations and our capital markets profile, while acknowledging the unique characteristics of our business model.</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placed particular emphasis on market capitalization alignment for several reasons. First, long-term equity incentives represent a substantial portion of executive compensation, and equity award values are inherently influenced by market capitalization and investor expectations regarding growth and risk. Second, given the variability in our revenue profile in recent periods due to macroeconomic conditions affecting credit demand and funding markets, revenue alone was not viewed as a sufficiently stable benchmark for positioning purposes. Market capitalization, which incorporates forward-looking investor sentiment and expected performance, was therefore considered a more balanced and durable reference point.</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also recognizes that proxy advisory firms construct peer groups using quantitative screens that may yield somewhat different comparator sets. While we monitor those methodologies, our peer group is designed to reflect the executive talent markets in which we compete and the operational and strategic complexity of our business. We believe this approach results in a more relevant and analytically sound benchmarking framework for compensation decision-making. Market data derived from this peer group is used as a reference input, not as a formulaic determinant of compensation outcomes.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52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25th Percentile</w:t>
            </w:r>
          </w:p>
        </w:tc>
        <w:tc>
          <w:tcPr>
            <w:tcW w:w="64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50th Percentile</w:t>
            </w:r>
          </w:p>
        </w:tc>
        <w:tc>
          <w:tcPr>
            <w:tcW w:w="6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75th Percentile</w:t>
            </w:r>
          </w:p>
        </w:tc>
        <w:tc>
          <w:tcPr>
            <w:tcW w:w="6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Upstart Percentile</w:t>
            </w:r>
          </w:p>
        </w:tc>
      </w:tr>
      <w:tr>
        <w:trPr>
          <w:trHeight w:val="250"/>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6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8"/>
              </w:rPr>
              <w:t>$   723M</w:t>
            </w:r>
          </w:p>
        </w:tc>
        <w:tc>
          <w:tcPr>
            <w:tcW w:w="156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rPr>
              <w:t>$1,202M</w:t>
            </w:r>
          </w:p>
        </w:tc>
        <w:tc>
          <w:tcPr>
            <w:tcW w:w="158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rPr>
              <w:t>$1,835M</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 Capitalization</w:t>
            </w:r>
          </w:p>
        </w:tc>
        <w:tc>
          <w:tcPr>
            <w:tcW w:w="15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7"/>
              </w:rPr>
              <w:t>$3,822M</w:t>
            </w:r>
          </w:p>
        </w:tc>
        <w:tc>
          <w:tcPr>
            <w:tcW w:w="15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$5,650M</w:t>
            </w:r>
          </w:p>
        </w:tc>
        <w:tc>
          <w:tcPr>
            <w:tcW w:w="15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rPr>
              <w:t>$9,203M</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w:t>
            </w:r>
          </w:p>
        </w:tc>
      </w:tr>
    </w:tbl>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reviewed compensation data from the approved peer group together with industry-specific survey data from the Radford data and analytics platform to inform its understanding of the competitive executive talent market. These sources were used to assess prevailing compensation levels, program design practices, and emerging trends. The compensation committee then evaluated our executive compensation structure and individual pay levels relative to this broader market context.</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does not establish compensation solely by reference to benchmarking to a peer or other representative group of companies. Rather, market information serves as a reference point within a broader decision-making framework. The compensation committee believes competitive data is valuable in two respects: it helps ensure our program remains externally competitive in attracting and retaining executive talent, and it provides context for evaluating the reasonableness and alignment of individual compensation elements and total direct compensation.</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Market data is one of several inputs considered in the compensation committee’s deliberations and does not dictate outcomes. Final compensation decisions reflect the compensation committee’s independent judgment, informed by company performance, individual contribution, internal alignment, retention considerations, and long-term stockholder interests.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general, rather than building compensation structures tailored to the individual executive or role, we have compensation tiers for our executive officers based on role breadth, experience, and company level impact. Each</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tier has its own range of base salary, target annual cash bonus opportunities and annual equity awards. The compensation tied to each tier is built based on aggregated market data as well as a subjective interpretation of the value the executive officer delivers to us and our short-term and long-term business objectives. Mr. Datta, who was our CFO in 2025 and is currently our President, Capital &amp; Enterprise as of February 10, 2026, remains instrumental to our business strategy as well as the critical relationships we have with our capital markets partners. Mr. Gu, our co-founder, current Chief Technology Officer, and incoming CEO effective May 1, 2026, leads the development of our proprietary AI technology as well as the product roadmap that includes our personal loan product, including small dollar loan product, auto loan product, home equity line of credit product and the exploration of several other products that are in a research and development stage. Mr. Darling, our Chief Legal Officer and Corporate Secretary, oversees all aspects of our legal function.</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three primary elements of our executive compensation programs are: (1) base salary, (2) annual cash bonus opportunities, and (3) long-term incentives in the form of equity awards, as described below:</w:t>
      </w:r>
    </w:p>
    <w:p>
      <w:pPr>
        <w:sectPr>
          <w:pgSz w:w="11900" w:h="16838" w:orient="portrait"/>
          <w:cols w:equalWidth="0" w:num="1">
            <w:col w:w="11100"/>
          </w:cols>
          <w:pgMar w:left="320" w:top="482" w:right="479" w:bottom="1440" w:gutter="0" w:footer="0" w:header="0"/>
        </w:sectPr>
      </w:pP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What This Element Rewards</w:t>
            </w:r>
          </w:p>
        </w:tc>
      </w:tr>
      <w:tr>
        <w:trPr>
          <w:trHeight w:val="191"/>
        </w:trPr>
        <w:tc>
          <w:tcPr>
            <w:tcW w:w="2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Base salary</w:t>
            </w:r>
          </w:p>
        </w:tc>
        <w:tc>
          <w:tcPr>
            <w:tcW w:w="220" w:type="dxa"/>
            <w:vAlign w:val="bottom"/>
          </w:tcPr>
          <w:p>
            <w:pPr>
              <w:spacing w:after="0"/>
              <w:rPr>
                <w:sz w:val="16"/>
                <w:szCs w:val="16"/>
                <w:color w:val="auto"/>
              </w:rPr>
            </w:pPr>
          </w:p>
        </w:tc>
        <w:tc>
          <w:tcPr>
            <w:tcW w:w="3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Individual performance, contributions and impact,</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level of experience, and breadth of role and</w:t>
            </w: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responsibility.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spacing w:after="0"/>
        <w:tabs>
          <w:tab w:leader="none" w:pos="3200" w:val="left"/>
        </w:tabs>
        <w:rPr>
          <w:sz w:val="20"/>
          <w:szCs w:val="20"/>
          <w:color w:val="auto"/>
        </w:rPr>
      </w:pPr>
      <w:r>
        <w:rPr>
          <w:rFonts w:ascii="Times New Roman" w:cs="Times New Roman" w:eastAsia="Times New Roman" w:hAnsi="Times New Roman"/>
          <w:sz w:val="18"/>
          <w:szCs w:val="18"/>
          <w:color w:val="auto"/>
        </w:rPr>
        <w:t>Annual cash bonuses</w:t>
      </w:r>
      <w:r>
        <w:rPr>
          <w:sz w:val="20"/>
          <w:szCs w:val="20"/>
          <w:color w:val="auto"/>
        </w:rPr>
        <w:tab/>
      </w:r>
      <w:r>
        <w:rPr>
          <w:rFonts w:ascii="Times New Roman" w:cs="Times New Roman" w:eastAsia="Times New Roman" w:hAnsi="Times New Roman"/>
          <w:sz w:val="18"/>
          <w:szCs w:val="18"/>
          <w:color w:val="auto"/>
        </w:rPr>
        <w:t>Achievement of pre-established corporate and</w:t>
      </w:r>
    </w:p>
    <w:p>
      <w:pPr>
        <w:spacing w:after="0" w:line="2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individual performance objectives as well as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individual contributions and leadership.</w:t>
      </w:r>
    </w:p>
    <w:p>
      <w:pPr>
        <w:spacing w:after="0" w:line="99" w:lineRule="exact"/>
        <w:rPr>
          <w:sz w:val="20"/>
          <w:szCs w:val="20"/>
          <w:color w:val="auto"/>
        </w:rPr>
      </w:pPr>
    </w:p>
    <w:p>
      <w:pPr>
        <w:ind w:left="120"/>
        <w:spacing w:after="0"/>
        <w:tabs>
          <w:tab w:leader="none" w:pos="3200" w:val="left"/>
        </w:tabs>
        <w:rPr>
          <w:sz w:val="20"/>
          <w:szCs w:val="20"/>
          <w:color w:val="auto"/>
        </w:rPr>
      </w:pPr>
      <w:r>
        <w:rPr>
          <w:rFonts w:ascii="Times New Roman" w:cs="Times New Roman" w:eastAsia="Times New Roman" w:hAnsi="Times New Roman"/>
          <w:sz w:val="18"/>
          <w:szCs w:val="18"/>
          <w:color w:val="auto"/>
        </w:rPr>
        <w:t>Long-term incentives/equity awards</w:t>
      </w:r>
      <w:r>
        <w:rPr>
          <w:sz w:val="20"/>
          <w:szCs w:val="20"/>
          <w:color w:val="auto"/>
        </w:rPr>
        <w:tab/>
      </w:r>
      <w:r>
        <w:rPr>
          <w:rFonts w:ascii="Times New Roman" w:cs="Times New Roman" w:eastAsia="Times New Roman" w:hAnsi="Times New Roman"/>
          <w:sz w:val="18"/>
          <w:szCs w:val="18"/>
          <w:color w:val="auto"/>
        </w:rPr>
        <w:t>Long-term achievement of our strategic, financial</w:t>
      </w:r>
    </w:p>
    <w:p>
      <w:pPr>
        <w:spacing w:after="0" w:line="2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and operational objectives that in turn drive</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sustained stockholder value creation.</w:t>
      </w:r>
    </w:p>
    <w:p>
      <w:pPr>
        <w:spacing w:after="0" w:line="11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Vesting requirements promote long-term thinking</w:t>
      </w:r>
    </w:p>
    <w:p>
      <w:pPr>
        <w:spacing w:after="0" w:line="2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and retention of highly-valued executive officers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over extended time horizons.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Purpose and Key Features of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4428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Provides a competitive level of fixed compensation to attract and retain a best-in-class management team. Salary levels are informed by the market value of the position and equitable treatment across the team, with actual base salaries established based on the facts and circumstances of each executive officer and each individual position.</w:t>
      </w:r>
    </w:p>
    <w:p>
      <w:pPr>
        <w:spacing w:after="0" w:line="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Motivates executive officers to drive company growth based on performance against our near-term operating and financial plans.</w:t>
      </w:r>
    </w:p>
    <w:p>
      <w:pPr>
        <w:spacing w:after="0" w:line="6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Attract, retain, motivate, and reward executive officers.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Annual equity awards that vest over a defined period of time and provide a significant “at risk” and, in the case of stock options, performance-based pay opportunity. The ultimate value of all equity awards is directly related to the market price of our common stock, and the awards are only earned over an extended period of time subject to vesting. Stock options further align executives and stockholders as they deliver value only to the extent that we deliver sustained stock price growth over the award’s vesting periods.</w:t>
      </w:r>
    </w:p>
    <w:p>
      <w:pPr>
        <w:spacing w:after="0" w:line="200" w:lineRule="exact"/>
        <w:rPr>
          <w:sz w:val="20"/>
          <w:szCs w:val="20"/>
          <w:color w:val="auto"/>
        </w:rPr>
      </w:pPr>
    </w:p>
    <w:p>
      <w:pPr>
        <w:sectPr>
          <w:pgSz w:w="11900" w:h="16838" w:orient="portrait"/>
          <w:cols w:equalWidth="0" w:num="2">
            <w:col w:w="7060" w:space="220"/>
            <w:col w:w="3820"/>
          </w:cols>
          <w:pgMar w:left="320" w:top="482" w:right="479" w:bottom="1440" w:gutter="0" w:footer="0" w:header="0"/>
          <w:type w:val="continuous"/>
        </w:sectPr>
      </w:pPr>
    </w:p>
    <w:p>
      <w:pPr>
        <w:spacing w:after="0" w:line="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executive officers also participate in the standard employee benefit plans available to our employees. In addition, our executive officers are eligible for post-employment (both change in control and non-change in control) severance payments and benefits under certain circumstances.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82" w:right="4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view base salary as a foundational element of our executive compensation program. It provides fixed compensation intended to attract and retain a high-caliber leadership team focused on building long-term enterprise value. Base salaries are designed to be competitive with the market and internally aligned based on scope of responsibility, leadership impact, and sustained contribution.</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executive base salaries annually and approves adjustments as appropriate (or makes a recommendation to the independent members of the Board in the case of the CEO). In conducting this review, the compensation committee considers competitive market data provided by its independent compensation consultant, recommendations from our CEO (other than with respect to his own compensation), individual performance, expanded scope of responsibilities, internal pay alignment, and broader business conditions.</w:t>
      </w:r>
    </w:p>
    <w:p>
      <w:pPr>
        <w:spacing w:after="0" w:line="180"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early 2025, the compensation committee completed its annual review of executive base salaries. After evaluating market data and the factors described above, the compensation committee recommended modest increases for our Named Executive Officers to maintain competitive positioning and reflect individual performance and growth in role since the prior adjustment cycle. Even after these increases, cumulative base salary growth for our Named Executive Officers has remained below 9% since 2021, reinforcing our continued emphasis on performance-based and at-risk compensation.</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annual base salaries of our Named Executive Officers for 2025 were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0" w:type="dxa"/>
            <w:vAlign w:val="bottom"/>
            <w:gridSpan w:val="3"/>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Year Over Year Increase in</w:t>
            </w:r>
          </w:p>
        </w:tc>
        <w:tc>
          <w:tcPr>
            <w:tcW w:w="0" w:type="dxa"/>
            <w:vAlign w:val="bottom"/>
          </w:tcPr>
          <w:p>
            <w:pPr>
              <w:spacing w:after="0"/>
              <w:rPr>
                <w:sz w:val="1"/>
                <w:szCs w:val="1"/>
                <w:color w:val="auto"/>
              </w:rPr>
            </w:pPr>
          </w:p>
        </w:tc>
      </w:tr>
      <w:tr>
        <w:trPr>
          <w:trHeight w:val="148"/>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920" w:type="dxa"/>
            <w:vAlign w:val="bottom"/>
            <w:gridSpan w:val="3"/>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2024 Base Salary</w:t>
            </w:r>
          </w:p>
        </w:tc>
        <w:tc>
          <w:tcPr>
            <w:tcW w:w="198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2025 Base Salary</w:t>
            </w:r>
          </w:p>
        </w:tc>
        <w:tc>
          <w:tcPr>
            <w:tcW w:w="940" w:type="dxa"/>
            <w:vAlign w:val="bottom"/>
          </w:tcPr>
          <w:p>
            <w:pPr>
              <w:spacing w:after="0"/>
              <w:rPr>
                <w:sz w:val="12"/>
                <w:szCs w:val="12"/>
                <w:color w:val="auto"/>
              </w:rPr>
            </w:pPr>
          </w:p>
        </w:tc>
        <w:tc>
          <w:tcPr>
            <w:tcW w:w="1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Base Salary (2025 vs.</w:t>
            </w:r>
          </w:p>
        </w:tc>
        <w:tc>
          <w:tcPr>
            <w:tcW w:w="0" w:type="dxa"/>
            <w:vAlign w:val="bottom"/>
          </w:tcPr>
          <w:p>
            <w:pPr>
              <w:spacing w:after="0"/>
              <w:rPr>
                <w:sz w:val="1"/>
                <w:szCs w:val="1"/>
                <w:color w:val="auto"/>
              </w:rPr>
            </w:pPr>
          </w:p>
        </w:tc>
      </w:tr>
      <w:tr>
        <w:trPr>
          <w:trHeight w:val="180"/>
        </w:trPr>
        <w:tc>
          <w:tcPr>
            <w:tcW w:w="1560" w:type="dxa"/>
            <w:vAlign w:val="bottom"/>
            <w:gridSpan w:val="2"/>
            <w:vMerge w:val="continue"/>
          </w:tcPr>
          <w:p>
            <w:pPr>
              <w:spacing w:after="0"/>
              <w:rPr>
                <w:sz w:val="15"/>
                <w:szCs w:val="15"/>
                <w:color w:val="auto"/>
              </w:rPr>
            </w:pPr>
          </w:p>
        </w:tc>
        <w:tc>
          <w:tcPr>
            <w:tcW w:w="2920" w:type="dxa"/>
            <w:vAlign w:val="bottom"/>
            <w:gridSpan w:val="3"/>
            <w:vMerge w:val="continue"/>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2600" w:type="dxa"/>
            <w:vAlign w:val="bottom"/>
            <w:gridSpan w:val="2"/>
          </w:tcPr>
          <w:p>
            <w:pPr>
              <w:jc w:val="center"/>
              <w:ind w:left="816"/>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Girouard</w:t>
            </w:r>
          </w:p>
        </w:tc>
        <w:tc>
          <w:tcPr>
            <w:tcW w:w="214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Datta</w:t>
            </w:r>
          </w:p>
        </w:tc>
        <w:tc>
          <w:tcPr>
            <w:tcW w:w="21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485,000</w:t>
            </w:r>
          </w:p>
        </w:tc>
        <w:tc>
          <w:tcPr>
            <w:tcW w:w="2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5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Gu</w:t>
            </w:r>
          </w:p>
        </w:tc>
        <w:tc>
          <w:tcPr>
            <w:tcW w:w="214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485,000</w:t>
            </w:r>
          </w:p>
        </w:tc>
        <w:tc>
          <w:tcPr>
            <w:tcW w:w="2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Darling</w:t>
            </w:r>
          </w:p>
        </w:tc>
        <w:tc>
          <w:tcPr>
            <w:tcW w:w="21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2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actual base salaries earned by our Named Executive Officers in 2025 are set forth in the “2025 Summary Compensation Table”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use annual cash incentives to motivate our executive officers, including our Named Executive Officers, to deliver disciplined financial and operational performance while advancing our longer-term strategic priorities. Consistent with our compensation philosophy, annual incentives are fully performance-based, are not guaranteed, and may vary significantly year to year. They represent a meaningful portion of total direct compensation and reinforce executive accountability for annual results.</w:t>
      </w:r>
    </w:p>
    <w:p>
      <w:pPr>
        <w:spacing w:after="0" w:line="180"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Each year, the compensation committee establishes target annual incentive opportunities under a formal bonus plan that links payout to clearly defined performance metrics aligned with our operating plan. The plan is structured to provide above-target payouts when performance meaningfully exceeds established objectives and reduced or no payouts when performance falls short. This framework supports pay-for-performance alignment and mitigates the risk of compensation outcomes that are not supported by results.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2025 Bonus Plan, the compensation committee selected the performance measures and approved the associated target levels at the beginning of the performance period. In setting these metrics and targets, the compensation committee considered rigor, line-of-sight accountability, business risk, and alignment with stockholder interests. Performance goals are intended to be challenging yet achievable, and target performance is not set at levels that are expected to be attained absent disciplined execution.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82"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retains the authority to exercise informed discretion in determining final payouts, including the ability to increase, reduce, or eliminate individual awards or adjust the overall bonus pool. This discretion is intended to ensure that incentive outcomes appropriately reflect overall company performance, individual leadership impact, risk considerations, and the quality and sustainability of results. The compensation committee is not required to apply formulaic weightings when exercising discretion and evaluates outcomes holistically.</w:t>
      </w:r>
    </w:p>
    <w:p>
      <w:pPr>
        <w:spacing w:after="0" w:line="180"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In addition, annual incentive awards remain subject to our Compensation Recovery Policy and other governance safeguards, reinforcing accountability and alignment with long-term stockholder value.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Target Annual Cash Bonus Opportunities</w:t>
      </w:r>
    </w:p>
    <w:p>
      <w:pPr>
        <w:spacing w:after="0" w:line="119"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In 2025, the compensation committee reviewed the target annual cash bonus opportunities of our executive officers, including our Named Executive Officers, taking into consideration a competitive market analysis prepared by Compensia and the recommendations of our CEO (except with respect to his own target annual cash bonus opportunity), as well as the other factors described above. Following this review, the compensation committee determined (or in the case of the CEO, recommended) that no changes to target annual cash bonus opportunities for 2025 were necessary to maintain competitive bonus opportunities. Target opportunities for each NEO are set forth in “2025 Performance Results and Bonus Decisions” below.</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Corporate Performance Objectives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Performance under the 2025 Bonus Plan was determined based on full-year financial results for the fiscal year ended December 31, 2025.</w:t>
      </w:r>
    </w:p>
    <w:p>
      <w:pPr>
        <w:spacing w:after="0" w:line="221"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For 2025, the compensation committee adopted a performance framework anchored on </w:t>
      </w:r>
      <w:r>
        <w:rPr>
          <w:rFonts w:ascii="Times New Roman" w:cs="Times New Roman" w:eastAsia="Times New Roman" w:hAnsi="Times New Roman"/>
          <w:sz w:val="18"/>
          <w:szCs w:val="18"/>
          <w:b w:val="1"/>
          <w:bCs w:val="1"/>
          <w:color w:val="auto"/>
        </w:rPr>
        <w:t>Revenue from Fees</w:t>
      </w:r>
      <w:r>
        <w:rPr>
          <w:rFonts w:ascii="Times New Roman" w:cs="Times New Roman" w:eastAsia="Times New Roman" w:hAnsi="Times New Roman"/>
          <w:sz w:val="18"/>
          <w:szCs w:val="18"/>
          <w:color w:val="auto"/>
        </w:rPr>
        <w:t xml:space="preserve"> as the primary funding metric, with </w:t>
      </w: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serving as a modifier to reinforce profitability discipline.</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performance determination process operated as follows:</w:t>
      </w:r>
    </w:p>
    <w:p>
      <w:pPr>
        <w:spacing w:after="0" w:line="127"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Primary Metric — Revenue from Fees</w:t>
      </w:r>
    </w:p>
    <w:p>
      <w:pPr>
        <w:spacing w:after="0" w:line="121" w:lineRule="exact"/>
        <w:rPr>
          <w:rFonts w:ascii="Times New Roman" w:cs="Times New Roman" w:eastAsia="Times New Roman" w:hAnsi="Times New Roman"/>
          <w:sz w:val="18"/>
          <w:szCs w:val="18"/>
          <w:color w:val="auto"/>
        </w:rPr>
      </w:pPr>
    </w:p>
    <w:p>
      <w:pPr>
        <w:ind w:left="110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Fees was used to determine the initial funding level of the executive bonus pool. Achievement relative to pre-established threshold, target, and maximum levels established the preliminary payout percentage, with straight-line interpolation between those levels. The compensation committee selected this metric because it reflects the core economic output of our platform and aligns executive incentives with sustainable revenue generation and marketplace activity.</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Profitability Modifier — Net Income</w:t>
      </w:r>
    </w:p>
    <w:p>
      <w:pPr>
        <w:spacing w:after="0" w:line="121" w:lineRule="exact"/>
        <w:rPr>
          <w:rFonts w:ascii="Times New Roman" w:cs="Times New Roman" w:eastAsia="Times New Roman" w:hAnsi="Times New Roman"/>
          <w:sz w:val="18"/>
          <w:szCs w:val="18"/>
          <w:color w:val="auto"/>
        </w:rPr>
      </w:pPr>
    </w:p>
    <w:p>
      <w:pPr>
        <w:ind w:left="1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functioned as a modifier to the revenue-based payout outcome. Depending on the level of profitability achieved, the calculated funding percentage could be adjusted downward. This structure reinforced accountability for profitable growth and mitigated the risk of incentivizing revenue expansion without corresponding earnings performance.</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determined that this two-factor framework appropriately balanced growth and profitability objectives during 2025. The compensation committee believes that emphasizing Revenue from Fees, while incorporating a Net Income modifier, directly supports durable stockholder value creation by aligning incentives with both top-line execution and bottom-line results.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Performance targets for each metric were established at the beginning of the fiscal year and were intended to be rigorous yet potentially achievable through disciplined execution of our operating plan. In setting these goals, the compensation committee considered financial forecasts, funding market conditions, credit performance expectations, and the broader macroeconomic environment.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2025 structure reflects a deliberate refinement of our prior incentive design. In earlier periods, incentive funding relied more heavily on Adjusted EBITDA-based measures. As our business regained scale and returned to profitability, the compensation committee concluded that Revenue from Fees — paired with a Net Income modifier — provided a more direct linkage to our current strategic priorities of disciplined growth and earnings durability. This evolution reflects the Company’s progression along its operating cycle and the compensation committee’s ongoing effort to ensure that performance metrics remain aligned with the drivers of long-term stockholder value.</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Fees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853.2M</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948.0M</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$ 1,232.4M</w:t>
            </w:r>
          </w:p>
        </w:tc>
        <w:tc>
          <w:tcPr>
            <w:tcW w:w="0" w:type="dxa"/>
            <w:vAlign w:val="bottom"/>
          </w:tcPr>
          <w:p>
            <w:pPr>
              <w:spacing w:after="0"/>
              <w:rPr>
                <w:sz w:val="1"/>
                <w:szCs w:val="1"/>
                <w:color w:val="auto"/>
              </w:rPr>
            </w:pPr>
          </w:p>
        </w:tc>
      </w:tr>
      <w:tr>
        <w:trPr>
          <w:trHeight w:val="270"/>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(NI)</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10M</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14M</w:t>
            </w:r>
          </w:p>
        </w:tc>
        <w:tc>
          <w:tcPr>
            <w:tcW w:w="42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4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 Pool Funding (NI at Threshold)</w:t>
            </w: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Pool Funding (NI at Target)</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event of actual performance between the levels set forth in the table, the payout level was to be calculated between each designated segment on a straight-line interpolated basis.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2025 Corporate Performance Results</w:t>
      </w:r>
    </w:p>
    <w:p>
      <w:pPr>
        <w:spacing w:after="0" w:line="11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2025 began as a challenging year but by the end the Company was starting to display a significant turn around in overall business performance. This was a direct result of the hard work of the team in building a more robust, more resilient business while continuing to innovate our core point of differentiation - better AI models for assessing credit risk. At the end of 2025 we closed with Revenue from Fees at $950.0 million and Net Income well above the target at $53.6 million. Based on the agreed targets approved by the compensation committee, we funded the overall bonus pool at 100.95%.</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Application of Individual Performance</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Mr. Girouard’s bonus payment was based entirely on Upstart’s financial performance and determined outside of the performance management calibration process. For the other Named Executive Officers, 75% of the bonus pay out is based on performance against the financial performance metric and 25% is based on an individual performance multiplier. The individual performance multiplier was determined as part of the Company-wide overall performance evaluation process under which all employees (other than Mr. Girouard) receive a rating that correlates to a multiplier that could impact their bonus payment either upwards or downwards. For our Named Executive Officers, their performance rating and bonus payments were subject to the approval of the compensation committee after recommendation from Mr. Girouard.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Named Executive Officer Performance — Chief Technology Officer</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beginning of 2025, the CEO established key priorities for Mr. Gu focused on advancing the Company’s AI and machine learning platform, improving model performance and credit outcomes, enabling the scaling of new products and verticals, strengthening engineering and product capabilities, and supporting external engagement with investors and stakeholders.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evaluating Mr. Gu’s performance, the CEO considered his execution against these priorities, including the following:</w:t>
      </w:r>
    </w:p>
    <w:p>
      <w:pPr>
        <w:spacing w:after="0" w:line="127" w:lineRule="exact"/>
        <w:rPr>
          <w:sz w:val="20"/>
          <w:szCs w:val="20"/>
          <w:color w:val="auto"/>
        </w:rPr>
      </w:pPr>
    </w:p>
    <w:p>
      <w:pPr>
        <w:jc w:val="both"/>
        <w:ind w:left="1080" w:right="460" w:hanging="424"/>
        <w:spacing w:after="0" w:line="317" w:lineRule="auto"/>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Advancement of AI Platform and Model Performance: </w:t>
      </w:r>
      <w:r>
        <w:rPr>
          <w:rFonts w:ascii="Times New Roman" w:cs="Times New Roman" w:eastAsia="Times New Roman" w:hAnsi="Times New Roman"/>
          <w:sz w:val="17"/>
          <w:szCs w:val="17"/>
          <w:color w:val="auto"/>
        </w:rPr>
        <w:t>Led significant enhancements to the Company’s technology and machine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learning platforms, contributing to improvements in model accuracy, conversion, pricing reliability, and overall system performance.</w:t>
      </w:r>
    </w:p>
    <w:p>
      <w:pPr>
        <w:spacing w:after="0" w:line="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82"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80" w:right="120" w:hanging="424"/>
        <w:spacing w:after="0" w:line="317"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Product Expansion and Scalable Growth: </w:t>
      </w:r>
      <w:r>
        <w:rPr>
          <w:rFonts w:ascii="Times New Roman" w:cs="Times New Roman" w:eastAsia="Times New Roman" w:hAnsi="Times New Roman"/>
          <w:sz w:val="17"/>
          <w:szCs w:val="17"/>
          <w:color w:val="auto"/>
        </w:rPr>
        <w:t>Enabled the continued expansion of the Company’s platform into new and existing verticals,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Auto, Home, and small-dollar lending, supporting growth to meaningful origination levels with sustainable unit economics.</w:t>
      </w:r>
    </w:p>
    <w:p>
      <w:pPr>
        <w:spacing w:after="0" w:line="37" w:lineRule="exact"/>
        <w:rPr>
          <w:rFonts w:ascii="Times New Roman" w:cs="Times New Roman" w:eastAsia="Times New Roman" w:hAnsi="Times New Roman"/>
          <w:sz w:val="17"/>
          <w:szCs w:val="17"/>
          <w:color w:val="auto"/>
        </w:rPr>
      </w:pPr>
    </w:p>
    <w:p>
      <w:pPr>
        <w:ind w:left="1080" w:right="280" w:hanging="424"/>
        <w:spacing w:after="0" w:line="28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Credit Performance and Outcomes: </w:t>
      </w:r>
      <w:r>
        <w:rPr>
          <w:rFonts w:ascii="Times New Roman" w:cs="Times New Roman" w:eastAsia="Times New Roman" w:hAnsi="Times New Roman"/>
          <w:sz w:val="18"/>
          <w:szCs w:val="18"/>
          <w:color w:val="auto"/>
        </w:rPr>
        <w:t>Supported strong credit outcomes across products through continued refinement of underwriting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models and platform capabilities.</w:t>
      </w:r>
    </w:p>
    <w:p>
      <w:pPr>
        <w:spacing w:after="0" w:line="60" w:lineRule="exact"/>
        <w:rPr>
          <w:rFonts w:ascii="Times New Roman" w:cs="Times New Roman" w:eastAsia="Times New Roman" w:hAnsi="Times New Roman"/>
          <w:sz w:val="18"/>
          <w:szCs w:val="18"/>
          <w:color w:val="auto"/>
        </w:rPr>
      </w:pPr>
    </w:p>
    <w:p>
      <w:pPr>
        <w:ind w:left="1080" w:right="680" w:hanging="424"/>
        <w:spacing w:after="0" w:line="28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Organizational and Talent Development: </w:t>
      </w:r>
      <w:r>
        <w:rPr>
          <w:rFonts w:ascii="Times New Roman" w:cs="Times New Roman" w:eastAsia="Times New Roman" w:hAnsi="Times New Roman"/>
          <w:sz w:val="18"/>
          <w:szCs w:val="18"/>
          <w:color w:val="auto"/>
        </w:rPr>
        <w:t>Led key organizational and talent upgrades across engineering and product functions,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strengthening the Company’s ability to execute and innovate.</w:t>
      </w:r>
    </w:p>
    <w:p>
      <w:pPr>
        <w:spacing w:after="0" w:line="60" w:lineRule="exact"/>
        <w:rPr>
          <w:rFonts w:ascii="Times New Roman" w:cs="Times New Roman" w:eastAsia="Times New Roman" w:hAnsi="Times New Roman"/>
          <w:sz w:val="18"/>
          <w:szCs w:val="18"/>
          <w:color w:val="auto"/>
        </w:rPr>
      </w:pPr>
    </w:p>
    <w:p>
      <w:pPr>
        <w:ind w:left="1080" w:right="800" w:hanging="424"/>
        <w:spacing w:after="0" w:line="28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and External Engagement: </w:t>
      </w:r>
      <w:r>
        <w:rPr>
          <w:rFonts w:ascii="Times New Roman" w:cs="Times New Roman" w:eastAsia="Times New Roman" w:hAnsi="Times New Roman"/>
          <w:sz w:val="18"/>
          <w:szCs w:val="18"/>
          <w:color w:val="auto"/>
        </w:rPr>
        <w:t>Expanded engagement with investors and external stakeholders, helping to articulate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differentiated AI capabilities, and played a key role in preparing for a successful CEO transition.</w:t>
      </w:r>
    </w:p>
    <w:p>
      <w:pPr>
        <w:spacing w:after="0" w:line="15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Mr. Gu’s exceptional performance against deliverables informed the CEO’s decisions regarding the annual incentive compensation and long-term equity awards Mr. Gu received.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Named Executive Officer Performance — Chief Financial Officer</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the beginning of 2025, the CEO established key priorities for Mr. Datta focused on strengthening the Company’s funding strategy, expanding and diversifying capital sources, enabling the scaling of new and existing products through third-party funding, and supporting the Company’s transition to a more capital-efficient operating model.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evaluating Mr. Datta’s performance, the CEO considered his execution against these priorities, including the following:</w:t>
      </w:r>
    </w:p>
    <w:p>
      <w:pPr>
        <w:spacing w:after="0" w:line="127" w:lineRule="exact"/>
        <w:rPr>
          <w:sz w:val="20"/>
          <w:szCs w:val="20"/>
          <w:color w:val="auto"/>
        </w:rPr>
      </w:pPr>
    </w:p>
    <w:p>
      <w:pPr>
        <w:ind w:left="1080" w:right="300" w:hanging="424"/>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Markets and Funding Strategy: </w:t>
      </w:r>
      <w:r>
        <w:rPr>
          <w:rFonts w:ascii="Times New Roman" w:cs="Times New Roman" w:eastAsia="Times New Roman" w:hAnsi="Times New Roman"/>
          <w:sz w:val="18"/>
          <w:szCs w:val="18"/>
          <w:color w:val="auto"/>
        </w:rPr>
        <w:t>Led the structuring and execution of large-scale and innovative funding solutions,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asset-backed securitizations, forward flow agreements, and new product funding structures.</w:t>
      </w:r>
    </w:p>
    <w:p>
      <w:pPr>
        <w:spacing w:after="0" w:line="60"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Balance Sheet Efficiency and Capital-Light Transition: </w:t>
      </w:r>
      <w:r>
        <w:rPr>
          <w:rFonts w:ascii="Times New Roman" w:cs="Times New Roman" w:eastAsia="Times New Roman" w:hAnsi="Times New Roman"/>
          <w:sz w:val="18"/>
          <w:szCs w:val="18"/>
          <w:color w:val="auto"/>
        </w:rPr>
        <w:t>Enabled the Company to support significant revenue growth while reducing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exposure by the end of the year, advancing a core strategic priority for 2025.</w:t>
      </w:r>
    </w:p>
    <w:p>
      <w:pPr>
        <w:spacing w:after="0" w:line="60" w:lineRule="exact"/>
        <w:rPr>
          <w:rFonts w:ascii="Times New Roman" w:cs="Times New Roman" w:eastAsia="Times New Roman" w:hAnsi="Times New Roman"/>
          <w:sz w:val="18"/>
          <w:szCs w:val="18"/>
          <w:color w:val="auto"/>
        </w:rPr>
      </w:pPr>
    </w:p>
    <w:p>
      <w:pPr>
        <w:ind w:left="1080" w:right="500" w:hanging="424"/>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Expansion of Third-Party Funding: </w:t>
      </w:r>
      <w:r>
        <w:rPr>
          <w:rFonts w:ascii="Times New Roman" w:cs="Times New Roman" w:eastAsia="Times New Roman" w:hAnsi="Times New Roman"/>
          <w:sz w:val="18"/>
          <w:szCs w:val="18"/>
          <w:color w:val="auto"/>
        </w:rPr>
        <w:t>Expanded third-party funding across new and existing products, including Auto and HELOC,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supporting the transition of these businesses toward more scalable and capital-efficient models.</w:t>
      </w:r>
    </w:p>
    <w:p>
      <w:pPr>
        <w:spacing w:after="0" w:line="60" w:lineRule="exact"/>
        <w:rPr>
          <w:rFonts w:ascii="Times New Roman" w:cs="Times New Roman" w:eastAsia="Times New Roman" w:hAnsi="Times New Roman"/>
          <w:sz w:val="18"/>
          <w:szCs w:val="18"/>
          <w:color w:val="auto"/>
        </w:rPr>
      </w:pPr>
    </w:p>
    <w:p>
      <w:pPr>
        <w:ind w:left="1080" w:right="520" w:hanging="424"/>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 for Business Model Evolution: </w:t>
      </w:r>
      <w:r>
        <w:rPr>
          <w:rFonts w:ascii="Times New Roman" w:cs="Times New Roman" w:eastAsia="Times New Roman" w:hAnsi="Times New Roman"/>
          <w:sz w:val="18"/>
          <w:szCs w:val="18"/>
          <w:color w:val="auto"/>
        </w:rPr>
        <w:t>Played a key role in supporting the Company’s broader business model evolution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alignment of funding strategy with product and platform growth.</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contributions informed the CEO’s decisions regarding the annual incentive compensation and long-term equity awards Mr. Datta received.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Named Executive Officer Performance — Chief Legal Officer</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At the beginning of 2025, the CEO established key priorities for Mr. Darling focused on strengthening the Company’s legal and governance frameworks, supporting capital markets and corporate transactions, enhancing board and committee operations, and building organizational capability within the legal function to support the Company’s growth and increasing complexity.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evaluating Mr. Darling’s performance, the CEO considered his execution against these priorities, including the following:</w:t>
      </w:r>
    </w:p>
    <w:p>
      <w:pPr>
        <w:spacing w:after="0" w:line="127" w:lineRule="exact"/>
        <w:rPr>
          <w:sz w:val="20"/>
          <w:szCs w:val="20"/>
          <w:color w:val="auto"/>
        </w:rPr>
      </w:pPr>
    </w:p>
    <w:p>
      <w:pPr>
        <w:ind w:left="1080" w:right="880" w:hanging="424"/>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Legal Support for Capital Markets and Strategic Transactions: </w:t>
      </w:r>
      <w:r>
        <w:rPr>
          <w:rFonts w:ascii="Times New Roman" w:cs="Times New Roman" w:eastAsia="Times New Roman" w:hAnsi="Times New Roman"/>
          <w:sz w:val="18"/>
          <w:szCs w:val="18"/>
          <w:color w:val="auto"/>
        </w:rPr>
        <w:t>Supported the execution of complex funding and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including innovative capital markets structures and new product funding initiatives.</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80" w:right="280" w:hanging="424"/>
        <w:spacing w:after="0" w:line="28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Governance and Board Effectiveness: </w:t>
      </w:r>
      <w:r>
        <w:rPr>
          <w:rFonts w:ascii="Times New Roman" w:cs="Times New Roman" w:eastAsia="Times New Roman" w:hAnsi="Times New Roman"/>
          <w:sz w:val="18"/>
          <w:szCs w:val="18"/>
          <w:color w:val="auto"/>
        </w:rPr>
        <w:t>Enhanced board and committee operations, including the implementation of more streamlined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 and improved materials to support effective oversight.</w:t>
      </w:r>
    </w:p>
    <w:p>
      <w:pPr>
        <w:spacing w:after="0" w:line="60"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Organizational Development: </w:t>
      </w:r>
      <w:r>
        <w:rPr>
          <w:rFonts w:ascii="Times New Roman" w:cs="Times New Roman" w:eastAsia="Times New Roman" w:hAnsi="Times New Roman"/>
          <w:sz w:val="18"/>
          <w:szCs w:val="18"/>
          <w:color w:val="auto"/>
        </w:rPr>
        <w:t>Strengthened the legal organization through the addition of experienced talent across capital markets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legal functions.</w:t>
      </w:r>
    </w:p>
    <w:p>
      <w:pPr>
        <w:spacing w:after="0" w:line="60" w:lineRule="exact"/>
        <w:rPr>
          <w:rFonts w:ascii="Times New Roman" w:cs="Times New Roman" w:eastAsia="Times New Roman" w:hAnsi="Times New Roman"/>
          <w:sz w:val="18"/>
          <w:szCs w:val="18"/>
          <w:color w:val="auto"/>
        </w:rPr>
      </w:pPr>
    </w:p>
    <w:p>
      <w:pPr>
        <w:ind w:left="1080" w:right="720" w:hanging="424"/>
        <w:spacing w:after="0" w:line="28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Risk Management and Operational Support: </w:t>
      </w:r>
      <w:r>
        <w:rPr>
          <w:rFonts w:ascii="Times New Roman" w:cs="Times New Roman" w:eastAsia="Times New Roman" w:hAnsi="Times New Roman"/>
          <w:sz w:val="18"/>
          <w:szCs w:val="18"/>
          <w:color w:val="auto"/>
        </w:rPr>
        <w:t>Provided legal support aligned with the Company’s growth, capital strategy,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increasing operational complexity, serving as a key risk and operational backstop.</w:t>
      </w:r>
    </w:p>
    <w:p>
      <w:pPr>
        <w:spacing w:after="0" w:line="15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This strong performance in support of the Company’s strategic and operational priorities for 2025 informed the CEO’s decisions regarding the annual incentive compensation and long-term equity awards Mr. Darling received.</w:t>
      </w:r>
    </w:p>
    <w:p>
      <w:pPr>
        <w:sectPr>
          <w:pgSz w:w="11900" w:h="16838" w:orient="portrait"/>
          <w:cols w:equalWidth="0" w:num="1">
            <w:col w:w="11080"/>
          </w:cols>
          <w:pgMar w:left="320" w:top="48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Named Executive Officers Who Were</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auto"/>
        </w:rPr>
        <w:t>Eligible for 2025 Cash Bonuses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9"/>
              </w:rPr>
              <w:t>Target Annual</w:t>
            </w: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Target</w:t>
            </w:r>
          </w:p>
        </w:tc>
        <w:tc>
          <w:tcPr>
            <w:tcW w:w="0" w:type="dxa"/>
            <w:vAlign w:val="bottom"/>
          </w:tcPr>
          <w:p>
            <w:pPr>
              <w:spacing w:after="0"/>
              <w:rPr>
                <w:sz w:val="1"/>
                <w:szCs w:val="1"/>
                <w:color w:val="auto"/>
              </w:rPr>
            </w:pPr>
          </w:p>
        </w:tc>
      </w:tr>
      <w:tr>
        <w:trPr>
          <w:trHeight w:val="148"/>
        </w:trPr>
        <w:tc>
          <w:tcPr>
            <w:tcW w:w="200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Cash Bonus</w:t>
            </w:r>
          </w:p>
        </w:tc>
        <w:tc>
          <w:tcPr>
            <w:tcW w:w="6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8"/>
        </w:trPr>
        <w:tc>
          <w:tcPr>
            <w:tcW w:w="200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 (as a</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 Bonus</w:t>
            </w:r>
          </w:p>
        </w:tc>
        <w:tc>
          <w:tcPr>
            <w:tcW w:w="0" w:type="dxa"/>
            <w:vAlign w:val="bottom"/>
          </w:tcPr>
          <w:p>
            <w:pPr>
              <w:spacing w:after="0"/>
              <w:rPr>
                <w:sz w:val="1"/>
                <w:szCs w:val="1"/>
                <w:color w:val="auto"/>
              </w:rPr>
            </w:pPr>
          </w:p>
        </w:tc>
      </w:tr>
      <w:tr>
        <w:trPr>
          <w:trHeight w:val="148"/>
        </w:trPr>
        <w:tc>
          <w:tcPr>
            <w:tcW w:w="200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 base</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560" w:type="dxa"/>
            <w:vAlign w:val="bottom"/>
            <w:gridSpan w:val="2"/>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7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2">
            <w:col w:w="5100" w:space="720"/>
            <w:col w:w="5260"/>
          </w:cols>
          <w:pgMar w:left="320" w:top="482" w:right="499" w:bottom="1440" w:gutter="0" w:footer="0" w:header="0"/>
          <w:type w:val="continuous"/>
        </w:sectPr>
      </w:pPr>
    </w:p>
    <w:tbl>
      <w:tblPr>
        <w:tblLayout w:type="fixed"/>
        <w:tblInd w:w="10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Girouard</w:t>
            </w:r>
          </w:p>
        </w:tc>
        <w:tc>
          <w:tcPr>
            <w:tcW w:w="3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$536,603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0"/>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Datta</w:t>
            </w:r>
          </w:p>
        </w:tc>
        <w:tc>
          <w:tcPr>
            <w:tcW w:w="3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75%</w:t>
            </w: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$385,900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336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Gu</w:t>
            </w:r>
          </w:p>
        </w:tc>
        <w:tc>
          <w:tcPr>
            <w:tcW w:w="3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75%</w:t>
            </w:r>
          </w:p>
        </w:tc>
        <w:tc>
          <w:tcPr>
            <w:tcW w:w="16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$408,337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0"/>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Darling</w:t>
            </w:r>
          </w:p>
        </w:tc>
        <w:tc>
          <w:tcPr>
            <w:tcW w:w="3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75%</w:t>
            </w: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$328,002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use long-term equity incentives to align our executive officers, including our Named Executive Officers, with sustained stockholder value creation. Equity awards provide executives with a meaningful ownership stake in Upstart and directly link realized compensation to long-term share performance.</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Historically, our long-term incentive program has consisted primarily of stock options and RSUs. Stock options deliver value only to the extent that our stock price appreciates above the exercise price, creating direct alignment with stockholder returns and reinforcing an ownership mindset. RSUs, by contrast, retain value even in periods of market volatility and provide a complementary retention element. Because RSUs typically require fewer shares to deliver equivalent value compared to options, they can also moderate dilution while maintaining alignment with stockholders, as their value increases with sustained share price appreciation.</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this combination of vehicles supports three objectives: (i) strong alignment with long-term performance, (ii) retention of key leadership talent in a competitive market, and (iii) prudent management of equity usage and dilution.</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does not apply a formulaic approach in determining annual equity award sizes. Instead, award levels are determined based on a holistic review that includes company performance, individual impact, scope of responsibility, competitive market data, retention considerations, and internal pay alignment. The compensation committee also evaluates projected dilution, burn rate, and the cumulative impact of equity grants on stockholder value when approving annual awards.</w:t>
      </w: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82" w:right="4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CEO provides recommendations regarding equity awards for other executive officers (other than himself), which the compensation committee reviews and evaluates independently before making final determinations.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Timing of Awards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part of Upstart’s annual performance and compensation review process, the compensation committee approves stock option and RSU awards to our Named Executive Officers on a predetermined schedule. The compensation committee does not take material non-public information into account when determining the timing and terms of stock option awards, except that if the Company determines that it is in possession of material non-public information on an anticipated grant date, the compensation committee expects to defer the grant until a date on which the Company is not in possession of material non-public information. In addition, the compensation committee does not time the release of material non-public information for the purpose of affecting the value of executive compensation.</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2025 Equity Awards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February 2025, the compensation committee approved annual equity awards for Messrs. Datta, Gu and Darling as incentives for future financial and individual performance, to retain such executive officers and in recognition of each person’s individual potential for future impact and contributions to Upstart. Our CEO’s equity awards were approved by the independent members of our Board based on the recommendation of the compensation committee.</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With respect to Messrs. Datta, Gu, and Darling, the equity awards consisted of both options to purchase shares of our common stock and RSU awards that may be settled for shares of our common stock. The compensation committee targeted 50% of the economic value in RSU awards and 50% in stock options (valued at approximately 1.9:1 ratio of shares subject to options versus RSUs based on the approximate underlying fair market values of the two types of equity awards) and believed that this proportion of the two types of equity awards provided the appropriate incentives for stock price performance while aligning the interests of such executive officers with the interests of our stockholders. With respect to our CEO, the compensation committee structured the equity award to consist solely of stock options in order to maximize the incentive to focus on stock price performance and create the strongest possible alignment between our CEO and the interests of our stockholders.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2026 Special Performance Equity Awards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the past, the compensation committee has considered the appropriateness of implementing performance-based RSUs for our leadership team, and believes that the changes to our executive leadership team in 2026 provided an opportunity to incorporate these performance-based equity compensation vehicles. The PRSU Awards (defined below) are intended to be a critical part of the equity-based compensation for Messrs. Gu, Datta and Darling and Ms. Blankmeyer for the next four years, and reflect a renewed approach to further align our compensation practices with the delivery of value to stockholders. The structure of the PRSU Vesting Schedule (defined below) was also influenced by the feedback our management team received from stockholders in 2025 regarding our executive compensation practices (see the section titled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Engagement</w:t>
      </w:r>
      <w:r>
        <w:rPr>
          <w:rFonts w:ascii="Times New Roman" w:cs="Times New Roman" w:eastAsia="Times New Roman" w:hAnsi="Times New Roman"/>
          <w:sz w:val="18"/>
          <w:szCs w:val="18"/>
          <w:color w:val="auto"/>
        </w:rPr>
        <w:t>” above).</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Subsequent to the fiscal year ended December 31, 2025, our compensation committee, after extensive consultation with Compensia, approved in February 2026 the grant of performance-based restricted stock unit awards (“PRSU Awards”) to (i) Paul Gu in connection with his appointment as Chief Executive Officer effective May 1, 2026, (ii) Sanjay Datta in connection with his transition to President, Capital &amp; Enterprise effective February 10, 2026, (iii) Andrea Blankmeyer in connection with her commencement of employment as Chief Financial Officer effective March 16, 2026, and</w:t>
      </w:r>
    </w:p>
    <w:p>
      <w:pPr>
        <w:spacing w:after="0" w:line="3" w:lineRule="exact"/>
        <w:rPr>
          <w:sz w:val="20"/>
          <w:szCs w:val="20"/>
          <w:color w:val="auto"/>
        </w:rPr>
      </w:pPr>
    </w:p>
    <w:p>
      <w:pPr>
        <w:ind w:left="5540" w:right="5060" w:hanging="5424"/>
        <w:spacing w:after="0" w:line="356" w:lineRule="auto"/>
        <w:tabs>
          <w:tab w:leader="none" w:pos="42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Darling in connection with his continuing equity compensation package. 45</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PRSU Awards granted to Messrs. Gu, Datta and Darling and Ms. Blankmeyer were granted with an initial intended value of $37.0 million, $7.5 million, $3.0 million and $6.0 million, respectively. Each PRSU Award will be eligible to vest in the first quarter of 2030 based on our four-year relative total stockholder return as compared to the companies in the F-Prime Fintech Index at the end of the first 30 trading days of 2026 who remain constituents of that index through the performance period (the “PRSU Vesting Schedule”).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equity awards granted to our eligible Named Executive Officers in 2025 were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3200" w:type="dxa"/>
            <w:vAlign w:val="bottom"/>
          </w:tcPr>
          <w:p>
            <w:pPr>
              <w:spacing w:after="0"/>
              <w:rPr>
                <w:sz w:val="15"/>
                <w:szCs w:val="15"/>
                <w:color w:val="auto"/>
              </w:rPr>
            </w:pPr>
          </w:p>
        </w:tc>
        <w:tc>
          <w:tcPr>
            <w:tcW w:w="3120" w:type="dxa"/>
            <w:vAlign w:val="bottom"/>
            <w:tcBorders>
              <w:bottom w:val="single" w:sz="8" w:color="auto"/>
            </w:tcBorders>
            <w:gridSpan w:val="3"/>
          </w:tcPr>
          <w:p>
            <w:pPr>
              <w:ind w:left="1800"/>
              <w:spacing w:after="0"/>
              <w:rPr>
                <w:sz w:val="20"/>
                <w:szCs w:val="20"/>
                <w:color w:val="auto"/>
              </w:rPr>
            </w:pPr>
            <w:r>
              <w:rPr>
                <w:rFonts w:ascii="Times New Roman" w:cs="Times New Roman" w:eastAsia="Times New Roman" w:hAnsi="Times New Roman"/>
                <w:sz w:val="14"/>
                <w:szCs w:val="14"/>
                <w:b w:val="1"/>
                <w:bCs w:val="1"/>
                <w:color w:val="auto"/>
              </w:rPr>
              <w:t>2025 Refresh Awards</w:t>
            </w:r>
          </w:p>
        </w:tc>
        <w:tc>
          <w:tcPr>
            <w:tcW w:w="1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080" w:type="dxa"/>
            <w:vAlign w:val="bottom"/>
            <w:gridSpan w:val="2"/>
            <w:vMerge w:val="continue"/>
          </w:tcPr>
          <w:p>
            <w:pPr>
              <w:spacing w:after="0"/>
              <w:rPr>
                <w:sz w:val="10"/>
                <w:szCs w:val="10"/>
                <w:color w:val="auto"/>
              </w:rPr>
            </w:pPr>
          </w:p>
        </w:tc>
        <w:tc>
          <w:tcPr>
            <w:tcW w:w="3200" w:type="dxa"/>
            <w:vAlign w:val="bottom"/>
          </w:tcPr>
          <w:p>
            <w:pPr>
              <w:spacing w:after="0"/>
              <w:rPr>
                <w:sz w:val="10"/>
                <w:szCs w:val="10"/>
                <w:color w:val="auto"/>
              </w:rPr>
            </w:pPr>
          </w:p>
        </w:tc>
        <w:tc>
          <w:tcPr>
            <w:tcW w:w="2260" w:type="dxa"/>
            <w:vAlign w:val="bottom"/>
          </w:tcPr>
          <w:p>
            <w:pPr>
              <w:jc w:val="right"/>
              <w:ind w:right="157"/>
              <w:spacing w:after="0" w:line="115" w:lineRule="exact"/>
              <w:rPr>
                <w:sz w:val="20"/>
                <w:szCs w:val="20"/>
                <w:color w:val="auto"/>
              </w:rPr>
            </w:pPr>
            <w:r>
              <w:rPr>
                <w:rFonts w:ascii="Times New Roman" w:cs="Times New Roman" w:eastAsia="Times New Roman" w:hAnsi="Times New Roman"/>
                <w:sz w:val="13"/>
                <w:szCs w:val="13"/>
                <w:b w:val="1"/>
                <w:bCs w:val="1"/>
                <w:color w:val="auto"/>
              </w:rPr>
              <w:t>Restricted Stock Unit Awards</w:t>
            </w: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Stock Option Awards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(intended target annual dollar value)</w:t>
            </w:r>
          </w:p>
        </w:tc>
        <w:tc>
          <w:tcPr>
            <w:tcW w:w="27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(intended target annual dollar value)</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3200" w:type="dxa"/>
            <w:vAlign w:val="bottom"/>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Dave Girouard</w:t>
            </w:r>
          </w:p>
        </w:tc>
        <w:tc>
          <w:tcPr>
            <w:tcW w:w="320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8.6 million</w:t>
            </w: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Datta</w:t>
            </w:r>
          </w:p>
        </w:tc>
        <w:tc>
          <w:tcPr>
            <w:tcW w:w="320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million</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 million</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060" w:type="dxa"/>
            <w:vAlign w:val="bottom"/>
          </w:tcPr>
          <w:p>
            <w:pPr>
              <w:spacing w:after="0"/>
              <w:rPr>
                <w:sz w:val="7"/>
                <w:szCs w:val="7"/>
                <w:color w:val="auto"/>
              </w:rPr>
            </w:pPr>
          </w:p>
        </w:tc>
        <w:tc>
          <w:tcPr>
            <w:tcW w:w="32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Gu</w:t>
            </w:r>
          </w:p>
        </w:tc>
        <w:tc>
          <w:tcPr>
            <w:tcW w:w="3200" w:type="dxa"/>
            <w:vAlign w:val="bottom"/>
            <w:shd w:val="clear" w:color="auto" w:fill="CCEEFF"/>
          </w:tcPr>
          <w:p>
            <w:pPr>
              <w:spacing w:after="0"/>
              <w:rPr>
                <w:sz w:val="21"/>
                <w:szCs w:val="21"/>
                <w:color w:val="auto"/>
              </w:rPr>
            </w:pPr>
          </w:p>
        </w:tc>
        <w:tc>
          <w:tcPr>
            <w:tcW w:w="2260" w:type="dxa"/>
            <w:vAlign w:val="bottom"/>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rPr>
              <w:t>$2.0 million</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2.0 million</w:t>
            </w: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Darling</w:t>
            </w:r>
          </w:p>
        </w:tc>
        <w:tc>
          <w:tcPr>
            <w:tcW w:w="320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million</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1.0 million</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40" w:right="280" w:hanging="424"/>
        <w:spacing w:after="0" w:line="261"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values in this column were converted into RSU awards based on a 30-trading day period trailing average of Upstart’s closing stock price on The NASDAQ Global Select Market as of February 20, 2025, prior to the grant date on February 28, 2025.</w:t>
      </w: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values in this column were converted into Stock Option awards based on a fixed ratio of stock options to RSUs of 1.9:1.</w:t>
      </w:r>
    </w:p>
    <w:p>
      <w:pPr>
        <w:spacing w:after="0" w:line="205"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equity awards granted to our Named Executive Officers in 2025 are set forth in the </w:t>
      </w:r>
      <w:r>
        <w:rPr>
          <w:rFonts w:ascii="Times New Roman" w:cs="Times New Roman" w:eastAsia="Times New Roman" w:hAnsi="Times New Roman"/>
          <w:sz w:val="18"/>
          <w:szCs w:val="18"/>
          <w:i w:val="1"/>
          <w:iCs w:val="1"/>
          <w:color w:val="auto"/>
        </w:rPr>
        <w:t>“2025 Summary Compensation Table”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Grants of Plan-Based Awards Table” </w:t>
      </w:r>
      <w:r>
        <w:rPr>
          <w:rFonts w:ascii="Times New Roman" w:cs="Times New Roman" w:eastAsia="Times New Roman" w:hAnsi="Times New Roman"/>
          <w:sz w:val="18"/>
          <w:szCs w:val="18"/>
          <w:color w:val="auto"/>
        </w:rPr>
        <w:t>below.</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Welfare and Health Benefits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maintain a tax-qualified 401(k) plan for eligible employees, including our executive officers. The plan permits tax-deferred employee contributions and tax-deferred earnings, and employer contributions are deductible when made. Participant deferrals are fully vested upon contribution. For 2025, we matched employee contributions up to $4,500 per participant.</w:t>
      </w:r>
    </w:p>
    <w:p>
      <w:pPr>
        <w:spacing w:after="0" w:line="176"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Executive officers participate in the same health and welfare benefit programs offered to full-time employees, including medical, dental, and vision coverage; flexible spending accounts; disability insurance; life and accidental death coverage; and paid time off. We do not maintain any non-qualified deferred compensation, pension, or defined benefit plans for our executive officers.</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Our benefits programs are designed to be competitive, cost-effective, and compliant with applicable legal requirements, and are reviewed periodically to ensure continued alignment with market practice and employee needs.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perquisites or other personal benefits to our executive officers, except as generally made available to our employees or in situations where we believe it is appropriate to assist an individual in the performance of his or her duties, to make our executive officers more efficient and effective, and for recruitment and retention purposes. During 2025, none of our Named Executive Officers received perquisites or other personal benefits that were, in the aggregate, $10,000 or more for each such Named Executive Officer.</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40"/>
          </w:cols>
          <w:pgMar w:left="320" w:top="482" w:right="5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to our executive officers in limited circumstances, however,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2020, we adopted an executive change in control and severance policy applicable to our executive officers. Pursuant to the policy, we subsequently entered into executive change in control and severance policy participation agreements with each of our executive officers, including each of our Named Executive Officers. In December 2022, the executive change in control and severance policy was amended to provide a standardized approach for providing severance payments and benefits.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executive change in control and severance policy requires us to provide certain payments and benefits to participants, including our Named Executive Officers, upon a qualifying termination of employment, which includes a termination of a participant’s employment without cause (excluding by reason of death or disability) or where the participant resigns for good reason, both within the three months preceding or 12 months following a change in control of Upstart or outside of such period. The receipt of these payments and benefits are contingent upon the participant’s execution, delivery, and non-revocation of a release and waiver of claims satisfactory to us following the separation from service.</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believe that the executive change in control and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change in control and severance policy is easier for us to administer, as it requires less time and expense.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executive change in control and severance policy contemplates that the payments and benefits in the event of a change in control of Upstart are payable only upon a “double trigger”; that is, only following a change in control and a qualifying termination of employment, including a termination of employment without cause (excluding by reason of death or disability) or a resignation for good reason, and in each case requires that the participant execute a release of claims in our favor.</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of a change in control of Upstart, to the extent that any of the amounts provided for under the executive change in control and severance policy would constitute a “parachute payment” within the meaning of Section 280G of the Code and could be subject to the related excise tax under Section 4999 of the Code, a participant will receive such payment as would entitle him or her to receive the greatest after-tax benefit, even if it means that we pay the executive officer a lower aggregate payment so as to minimize or eliminate the potential excise tax imposed by Section 4999 of the Code.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a summary of the material terms and conditions of the executive change in control and severance policy, as well as an estimate of the amounts payable to our Named Executive Officers under their respective participation agreements, see </w:t>
      </w:r>
      <w:r>
        <w:rPr>
          <w:rFonts w:ascii="Times New Roman" w:cs="Times New Roman" w:eastAsia="Times New Roman" w:hAnsi="Times New Roman"/>
          <w:sz w:val="18"/>
          <w:szCs w:val="18"/>
          <w:i w:val="1"/>
          <w:iCs w:val="1"/>
          <w:color w:val="auto"/>
        </w:rPr>
        <w:t>“—Potential Payments upon Termination or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w:t>
      </w:r>
      <w:r>
        <w:rPr>
          <w:rFonts w:ascii="Times New Roman" w:cs="Times New Roman" w:eastAsia="Times New Roman" w:hAnsi="Times New Roman"/>
          <w:sz w:val="18"/>
          <w:szCs w:val="18"/>
          <w:color w:val="auto"/>
        </w:rPr>
        <w:t>below. A copy of the Amended and Restated Change in Control and Severance Policy is filed as an exhibit to our Annual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 for the fiscal year ended December 31, 2025.</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82"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Effective as of December 1, 2023, our Board adopted a compensation recovery policy, a copy of which is filed as an exhibit to our Annual Report on Form 10-K for the fiscal year ended December 31, 2025. The compensation recovery policy is intended to further the Company’s pay-for-performance philosophy and to comply with applicable SEC and Nasdaq requirements by providing for the reasonably prompt recovery (i.e., a “clawback”) of certain executive compensation in the event of an accounting restatement. The application of the compensation recovery policy to executive officers is not discretionary, with limited exceptions, and applies without regard to whether an executive officer was at fault.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Derivatives Trading, Hedging, and Pledging Policies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our insider trading policy, our employees, including our executive officers, and the non-employee members of our Board are prohibited from engaging in short sales, trading in derivative securities (other than stock options, RSU awards, and other compensatory awards granted to such individuals by us) or engaging in hedging transactions, pledging our securities as collateral for a loan (except for, in the case of our executive officers and the non-employee members of our Board and only with respect to pledging, with a waiver of this prohibition from our Chief Legal Officer and the chair of our Nominating and Corporate Governance Committee and a determination that the individual has the financial capacity to repay the loan without resorting to the pledged securities), and holding our securities in a margin account.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Section 162(m) of the Code generally limits the amount a public company may deduct for federal income taxes purposes for compensation paid to its chief executive officer, chief financial officer, and certain other executive officers up to $1 million per executive officer per year, subject to certain exceptions. Prior to our becoming a public company, our Board had not previously taken the deductibility limit imposed by Section 162(m) into consideration in setting compensation for the covered executive officers. As a publicly-traded company, the compensation committee is mindful of the benefits of full deductibility of compensation, and intends to operate our executive compensation program to be most efficient and effective for our stockholders.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it is important to maintain cash and equity incentive compensation at the requisite level to attract and retain the individuals essential to our financial success. As such, the compensation committee may award compensation to covered executive officers that is not deductible as a result of Section 162(m) if it determines doing so to be in the best interests of the Company and our stockholders</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Nonqualified Deferred Compensation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elements,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82"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“Parachute” Payments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Sections 280G and 4999 of the Code provide that executive officers and the non-employee members of our Board who hold significant equity interests and certain other service providers may be subject to additional excise taxes if they receive payments or benefits in connection with a change in control of Upstart that exceeds certain prescribed limits, and that we (or a successor) may forfeit a deduction on the amounts subject to this additional tax. We did not provide any executive officer, including any Named Executive Officer, with a “gross-up” or other tax payment or reimbursement for any tax liability that he or she might owe as a result of the application of Sections 280G or 4999 during 2025 and we have not agreed and are not otherwise obligated to provide any executive officer, including any Named Executive Officer, with such a “gross-up” or other payment or reimbursement.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FASB ASC Topic 718, the standard which governs the accounting treatment of stock-based compensation awards.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FASB ASC Topic 718 requires us to recognize in our financial statements all share-based payment awards to employees, including grants of options to purchase shares of our common stock and RSU awards that may be settled for shares of our common stock to our executive officers, based on their grant date fair values. With respect to stock options and PRSU awards, the application of FASB ASC Topic 718 involves significant amounts of judgment in the determination of inputs into the Black-Scholes option-pricing model and Monte Carlo simulation model, respectively, that we use to determine the fair value of these awards. These inputs include assumptions as to the expected volatility of the underlying stock, risk free interest rates, and the expected life (term) of the awards. We review our valuation assumptions at each grant date, and, as a result, our valuation assumptions used to value stock options and PRSU awards granted in future periods may vary from the valuation assumptions we have used previously.</w:t>
      </w:r>
    </w:p>
    <w:p>
      <w:pPr>
        <w:spacing w:after="0" w:line="189"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FASB 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This compensation expense is also reported in the compensation tables below, even though recipients may never realize any value from their equity awards.</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has reviewed and discussed with management the Compensation Discussion and Analysis provided above. Based on its review and discussions, the compensation committee recommended to the Board that the Compensation Discussion and Analysis be included in this proxy statement and the Annual Report on Form 10-K for our fiscal year ended December 31, 2025.</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of the Board: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Kerry Cooper (Chairperson)</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Peter Bernard</w:t>
      </w:r>
    </w:p>
    <w:p>
      <w:pPr>
        <w:spacing w:after="0" w:line="20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we specifically incorporate this information by reference, and this report and the information contained therein will not otherwise be deemed “soliciting material” or “filed” under either the Securities Act or the Exchange Act or be subject to Regulation 14A or Regulation 14C (other than as provided in Item 407 of Regulation S-K) or to the liabilities of Section 18 of the Exchange Act.</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2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or paid to our Named Executive Officers for the fiscal years ended December 31, 2025, 2024 and 2023.</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1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 ($)</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65"/>
        </w:trPr>
        <w:tc>
          <w:tcPr>
            <w:tcW w:w="1760" w:type="dxa"/>
            <w:vAlign w:val="bottom"/>
            <w:tcBorders>
              <w:bottom w:val="single" w:sz="8" w:color="auto"/>
            </w:tcBorders>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700" w:type="dxa"/>
            <w:vAlign w:val="bottom"/>
          </w:tcPr>
          <w:p>
            <w:pPr>
              <w:jc w:val="right"/>
              <w:ind w:right="113"/>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3"/>
                <w:szCs w:val="13"/>
                <w:color w:val="auto"/>
              </w:rPr>
            </w:pPr>
          </w:p>
        </w:tc>
        <w:tc>
          <w:tcPr>
            <w:tcW w:w="840" w:type="dxa"/>
            <w:vAlign w:val="bottom"/>
          </w:tcPr>
          <w:p>
            <w:pPr>
              <w:ind w:left="3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0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(2)</w:t>
            </w:r>
          </w:p>
        </w:tc>
        <w:tc>
          <w:tcPr>
            <w:tcW w:w="10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10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(4)</w:t>
            </w: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20" w:type="dxa"/>
            <w:vAlign w:val="bottom"/>
            <w:gridSpan w:val="2"/>
            <w:shd w:val="clear" w:color="auto" w:fill="BAD8EB"/>
          </w:tcPr>
          <w:p>
            <w:pPr>
              <w:spacing w:after="0" w:line="20" w:lineRule="exact"/>
              <w:rPr>
                <w:sz w:val="1"/>
                <w:szCs w:val="1"/>
                <w:color w:val="auto"/>
              </w:rPr>
            </w:pPr>
          </w:p>
        </w:tc>
        <w:tc>
          <w:tcPr>
            <w:tcW w:w="140" w:type="dxa"/>
            <w:vAlign w:val="bottom"/>
            <w:tcBorders>
              <w:right w:val="single" w:sz="8" w:color="auto"/>
            </w:tcBorders>
            <w:shd w:val="clear" w:color="auto" w:fill="BAD8EB"/>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BAD8EB"/>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BAD8EB"/>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BAD8EB"/>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BAD8EB"/>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BAD8EB"/>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BAD8EB"/>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BAD8EB"/>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gridSpan w:val="2"/>
            <w:shd w:val="clear" w:color="auto" w:fill="BAD8EB"/>
          </w:tcPr>
          <w:p>
            <w:pPr>
              <w:spacing w:after="0" w:line="243" w:lineRule="exact"/>
              <w:rPr>
                <w:sz w:val="20"/>
                <w:szCs w:val="20"/>
                <w:color w:val="auto"/>
              </w:rPr>
            </w:pPr>
            <w:r>
              <w:rPr>
                <w:rFonts w:ascii="Times New Roman" w:cs="Times New Roman" w:eastAsia="Times New Roman" w:hAnsi="Times New Roman"/>
                <w:sz w:val="18"/>
                <w:szCs w:val="18"/>
                <w:color w:val="auto"/>
              </w:rPr>
              <w:t>Dave Girouard</w:t>
            </w:r>
            <w:r>
              <w:rPr>
                <w:rFonts w:ascii="Times New Roman" w:cs="Times New Roman" w:eastAsia="Times New Roman" w:hAnsi="Times New Roman"/>
                <w:sz w:val="26"/>
                <w:szCs w:val="26"/>
                <w:color w:val="auto"/>
                <w:vertAlign w:val="superscript"/>
              </w:rPr>
              <w:t>(5)</w:t>
            </w:r>
          </w:p>
        </w:tc>
        <w:tc>
          <w:tcPr>
            <w:tcW w:w="140" w:type="dxa"/>
            <w:vAlign w:val="bottom"/>
            <w:tcBorders>
              <w:right w:val="single" w:sz="8" w:color="BAD8EB"/>
            </w:tcBorders>
            <w:shd w:val="clear" w:color="auto" w:fill="BAD8EB"/>
          </w:tcPr>
          <w:p>
            <w:pPr>
              <w:spacing w:after="0"/>
              <w:rPr>
                <w:sz w:val="21"/>
                <w:szCs w:val="21"/>
                <w:color w:val="auto"/>
              </w:rPr>
            </w:pPr>
          </w:p>
        </w:tc>
        <w:tc>
          <w:tcPr>
            <w:tcW w:w="420" w:type="dxa"/>
            <w:vAlign w:val="bottom"/>
            <w:shd w:val="clear" w:color="auto" w:fill="BAD8EB"/>
          </w:tcPr>
          <w:p>
            <w:pPr>
              <w:ind w:left="6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shd w:val="clear" w:color="auto" w:fill="BAD8EB"/>
          </w:tcPr>
          <w:p>
            <w:pPr>
              <w:spacing w:after="0"/>
              <w:rPr>
                <w:sz w:val="21"/>
                <w:szCs w:val="21"/>
                <w:color w:val="auto"/>
              </w:rPr>
            </w:pPr>
          </w:p>
        </w:tc>
        <w:tc>
          <w:tcPr>
            <w:tcW w:w="70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536,667</w:t>
            </w:r>
          </w:p>
        </w:tc>
        <w:tc>
          <w:tcPr>
            <w:tcW w:w="80" w:type="dxa"/>
            <w:vAlign w:val="bottom"/>
            <w:shd w:val="clear" w:color="auto" w:fill="BAD8EB"/>
          </w:tcPr>
          <w:p>
            <w:pPr>
              <w:spacing w:after="0"/>
              <w:rPr>
                <w:sz w:val="21"/>
                <w:szCs w:val="21"/>
                <w:color w:val="auto"/>
              </w:rPr>
            </w:pPr>
          </w:p>
        </w:tc>
        <w:tc>
          <w:tcPr>
            <w:tcW w:w="840" w:type="dxa"/>
            <w:vAlign w:val="bottom"/>
            <w:shd w:val="clear" w:color="auto" w:fill="BAD8EB"/>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BAD8EB"/>
          </w:tcPr>
          <w:p>
            <w:pPr>
              <w:spacing w:after="0"/>
              <w:rPr>
                <w:sz w:val="21"/>
                <w:szCs w:val="21"/>
                <w:color w:val="auto"/>
              </w:rPr>
            </w:pPr>
          </w:p>
        </w:tc>
        <w:tc>
          <w:tcPr>
            <w:tcW w:w="940" w:type="dxa"/>
            <w:vAlign w:val="bottom"/>
            <w:gridSpan w:val="2"/>
            <w:shd w:val="clear" w:color="auto" w:fill="BAD8EB"/>
          </w:tcPr>
          <w:p>
            <w:pPr>
              <w:jc w:val="right"/>
              <w:ind w:right="100"/>
              <w:spacing w:after="0"/>
              <w:rPr>
                <w:sz w:val="20"/>
                <w:szCs w:val="20"/>
                <w:color w:val="auto"/>
              </w:rPr>
            </w:pPr>
            <w:r>
              <w:rPr>
                <w:rFonts w:ascii="Times New Roman" w:cs="Times New Roman" w:eastAsia="Times New Roman" w:hAnsi="Times New Roman"/>
                <w:sz w:val="18"/>
                <w:szCs w:val="18"/>
                <w:color w:val="auto"/>
              </w:rPr>
              <w:t>8,597,565</w:t>
            </w:r>
          </w:p>
        </w:tc>
        <w:tc>
          <w:tcPr>
            <w:tcW w:w="94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BAD8EB"/>
          </w:tcPr>
          <w:p>
            <w:pPr>
              <w:jc w:val="right"/>
              <w:ind w:right="335"/>
              <w:spacing w:after="0"/>
              <w:rPr>
                <w:sz w:val="20"/>
                <w:szCs w:val="20"/>
                <w:color w:val="auto"/>
              </w:rPr>
            </w:pPr>
            <w:r>
              <w:rPr>
                <w:rFonts w:ascii="Times New Roman" w:cs="Times New Roman" w:eastAsia="Times New Roman" w:hAnsi="Times New Roman"/>
                <w:sz w:val="18"/>
                <w:szCs w:val="18"/>
                <w:color w:val="auto"/>
              </w:rPr>
              <w:t>536,603</w:t>
            </w:r>
          </w:p>
        </w:tc>
        <w:tc>
          <w:tcPr>
            <w:tcW w:w="100" w:type="dxa"/>
            <w:vAlign w:val="bottom"/>
            <w:shd w:val="clear" w:color="auto" w:fill="BAD8EB"/>
          </w:tcPr>
          <w:p>
            <w:pPr>
              <w:spacing w:after="0"/>
              <w:rPr>
                <w:sz w:val="21"/>
                <w:szCs w:val="21"/>
                <w:color w:val="auto"/>
              </w:rPr>
            </w:pPr>
          </w:p>
        </w:tc>
        <w:tc>
          <w:tcPr>
            <w:tcW w:w="1420" w:type="dxa"/>
            <w:vAlign w:val="bottom"/>
            <w:gridSpan w:val="2"/>
            <w:shd w:val="clear" w:color="auto" w:fill="BAD8EB"/>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9,670,835</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BAD8EB"/>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40" w:type="dxa"/>
            <w:vAlign w:val="bottom"/>
            <w:tcBorders>
              <w:right w:val="single" w:sz="8" w:color="BAD8EB"/>
            </w:tcBorders>
            <w:shd w:val="clear" w:color="auto" w:fill="BAD8EB"/>
          </w:tcPr>
          <w:p>
            <w:pPr>
              <w:spacing w:after="0"/>
              <w:rPr>
                <w:sz w:val="18"/>
                <w:szCs w:val="18"/>
                <w:color w:val="auto"/>
              </w:rPr>
            </w:pPr>
          </w:p>
        </w:tc>
        <w:tc>
          <w:tcPr>
            <w:tcW w:w="420" w:type="dxa"/>
            <w:vAlign w:val="bottom"/>
            <w:shd w:val="clear" w:color="auto" w:fill="BAD8EB"/>
          </w:tcPr>
          <w:p>
            <w:pPr>
              <w:ind w:left="6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shd w:val="clear" w:color="auto" w:fill="BAD8EB"/>
          </w:tcPr>
          <w:p>
            <w:pPr>
              <w:spacing w:after="0"/>
              <w:rPr>
                <w:sz w:val="18"/>
                <w:szCs w:val="18"/>
                <w:color w:val="auto"/>
              </w:rPr>
            </w:pPr>
          </w:p>
        </w:tc>
        <w:tc>
          <w:tcPr>
            <w:tcW w:w="780" w:type="dxa"/>
            <w:vAlign w:val="bottom"/>
            <w:gridSpan w:val="2"/>
            <w:shd w:val="clear" w:color="auto" w:fill="BAD8EB"/>
          </w:tcPr>
          <w:p>
            <w:pPr>
              <w:jc w:val="right"/>
              <w:ind w:right="80"/>
              <w:spacing w:after="0"/>
              <w:rPr>
                <w:sz w:val="20"/>
                <w:szCs w:val="20"/>
                <w:color w:val="auto"/>
              </w:rPr>
            </w:pPr>
            <w:r>
              <w:rPr>
                <w:rFonts w:ascii="Times New Roman" w:cs="Times New Roman" w:eastAsia="Times New Roman" w:hAnsi="Times New Roman"/>
                <w:sz w:val="18"/>
                <w:szCs w:val="18"/>
                <w:color w:val="auto"/>
              </w:rPr>
              <w:t>496,667</w:t>
            </w:r>
          </w:p>
        </w:tc>
        <w:tc>
          <w:tcPr>
            <w:tcW w:w="920" w:type="dxa"/>
            <w:vAlign w:val="bottom"/>
            <w:gridSpan w:val="2"/>
            <w:shd w:val="clear" w:color="auto" w:fill="BAD8EB"/>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BAD8EB"/>
          </w:tcPr>
          <w:p>
            <w:pPr>
              <w:jc w:val="right"/>
              <w:ind w:right="100"/>
              <w:spacing w:after="0"/>
              <w:rPr>
                <w:sz w:val="20"/>
                <w:szCs w:val="20"/>
                <w:color w:val="auto"/>
              </w:rPr>
            </w:pPr>
            <w:r>
              <w:rPr>
                <w:rFonts w:ascii="Times New Roman" w:cs="Times New Roman" w:eastAsia="Times New Roman" w:hAnsi="Times New Roman"/>
                <w:sz w:val="18"/>
                <w:szCs w:val="18"/>
                <w:color w:val="auto"/>
              </w:rPr>
              <w:t>5,812,344</w:t>
            </w:r>
          </w:p>
        </w:tc>
        <w:tc>
          <w:tcPr>
            <w:tcW w:w="94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BAD8EB"/>
          </w:tcPr>
          <w:p>
            <w:pPr>
              <w:jc w:val="right"/>
              <w:ind w:right="335"/>
              <w:spacing w:after="0"/>
              <w:rPr>
                <w:sz w:val="20"/>
                <w:szCs w:val="20"/>
                <w:color w:val="auto"/>
              </w:rPr>
            </w:pPr>
            <w:r>
              <w:rPr>
                <w:rFonts w:ascii="Times New Roman" w:cs="Times New Roman" w:eastAsia="Times New Roman" w:hAnsi="Times New Roman"/>
                <w:sz w:val="18"/>
                <w:szCs w:val="18"/>
                <w:color w:val="auto"/>
              </w:rPr>
              <w:t>801,124</w:t>
            </w:r>
          </w:p>
        </w:tc>
        <w:tc>
          <w:tcPr>
            <w:tcW w:w="100" w:type="dxa"/>
            <w:vAlign w:val="bottom"/>
            <w:shd w:val="clear" w:color="auto" w:fill="BAD8EB"/>
          </w:tcPr>
          <w:p>
            <w:pPr>
              <w:spacing w:after="0"/>
              <w:rPr>
                <w:sz w:val="18"/>
                <w:szCs w:val="18"/>
                <w:color w:val="auto"/>
              </w:rPr>
            </w:pPr>
          </w:p>
        </w:tc>
        <w:tc>
          <w:tcPr>
            <w:tcW w:w="1420" w:type="dxa"/>
            <w:vAlign w:val="bottom"/>
            <w:gridSpan w:val="2"/>
            <w:shd w:val="clear" w:color="auto" w:fill="BAD8EB"/>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7,110,135</w:t>
            </w:r>
          </w:p>
        </w:tc>
        <w:tc>
          <w:tcPr>
            <w:tcW w:w="0" w:type="dxa"/>
            <w:vAlign w:val="bottom"/>
          </w:tcPr>
          <w:p>
            <w:pPr>
              <w:spacing w:after="0"/>
              <w:rPr>
                <w:sz w:val="1"/>
                <w:szCs w:val="1"/>
                <w:color w:val="auto"/>
              </w:rPr>
            </w:pPr>
          </w:p>
        </w:tc>
      </w:tr>
      <w:tr>
        <w:trPr>
          <w:trHeight w:val="243"/>
        </w:trPr>
        <w:tc>
          <w:tcPr>
            <w:tcW w:w="1760" w:type="dxa"/>
            <w:vAlign w:val="bottom"/>
            <w:shd w:val="clear" w:color="auto" w:fill="BAD8EB"/>
          </w:tcPr>
          <w:p>
            <w:pPr>
              <w:spacing w:after="0"/>
              <w:rPr>
                <w:sz w:val="21"/>
                <w:szCs w:val="21"/>
                <w:color w:val="auto"/>
              </w:rPr>
            </w:pPr>
          </w:p>
        </w:tc>
        <w:tc>
          <w:tcPr>
            <w:tcW w:w="1160" w:type="dxa"/>
            <w:vAlign w:val="bottom"/>
            <w:shd w:val="clear" w:color="auto" w:fill="BAD8EB"/>
          </w:tcPr>
          <w:p>
            <w:pPr>
              <w:spacing w:after="0"/>
              <w:rPr>
                <w:sz w:val="21"/>
                <w:szCs w:val="21"/>
                <w:color w:val="auto"/>
              </w:rPr>
            </w:pPr>
          </w:p>
        </w:tc>
        <w:tc>
          <w:tcPr>
            <w:tcW w:w="140" w:type="dxa"/>
            <w:vAlign w:val="bottom"/>
            <w:tcBorders>
              <w:right w:val="single" w:sz="8" w:color="BAD8EB"/>
            </w:tcBorders>
            <w:shd w:val="clear" w:color="auto" w:fill="BAD8EB"/>
          </w:tcPr>
          <w:p>
            <w:pPr>
              <w:spacing w:after="0"/>
              <w:rPr>
                <w:sz w:val="21"/>
                <w:szCs w:val="21"/>
                <w:color w:val="auto"/>
              </w:rPr>
            </w:pPr>
          </w:p>
        </w:tc>
        <w:tc>
          <w:tcPr>
            <w:tcW w:w="420" w:type="dxa"/>
            <w:vAlign w:val="bottom"/>
            <w:shd w:val="clear" w:color="auto" w:fill="BAD8EB"/>
          </w:tcPr>
          <w:p>
            <w:pPr>
              <w:ind w:left="6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shd w:val="clear" w:color="auto" w:fill="BAD8EB"/>
          </w:tcPr>
          <w:p>
            <w:pPr>
              <w:spacing w:after="0"/>
              <w:rPr>
                <w:sz w:val="21"/>
                <w:szCs w:val="21"/>
                <w:color w:val="auto"/>
              </w:rPr>
            </w:pPr>
          </w:p>
        </w:tc>
        <w:tc>
          <w:tcPr>
            <w:tcW w:w="780" w:type="dxa"/>
            <w:vAlign w:val="bottom"/>
            <w:gridSpan w:val="2"/>
            <w:shd w:val="clear" w:color="auto" w:fill="BAD8EB"/>
          </w:tcPr>
          <w:p>
            <w:pPr>
              <w:jc w:val="right"/>
              <w:ind w:right="80"/>
              <w:spacing w:after="0"/>
              <w:rPr>
                <w:sz w:val="20"/>
                <w:szCs w:val="20"/>
                <w:color w:val="auto"/>
              </w:rPr>
            </w:pPr>
            <w:r>
              <w:rPr>
                <w:rFonts w:ascii="Times New Roman" w:cs="Times New Roman" w:eastAsia="Times New Roman" w:hAnsi="Times New Roman"/>
                <w:sz w:val="18"/>
                <w:szCs w:val="18"/>
                <w:color w:val="auto"/>
              </w:rPr>
              <w:t>460,000</w:t>
            </w:r>
          </w:p>
        </w:tc>
        <w:tc>
          <w:tcPr>
            <w:tcW w:w="920" w:type="dxa"/>
            <w:vAlign w:val="bottom"/>
            <w:gridSpan w:val="2"/>
            <w:shd w:val="clear" w:color="auto" w:fill="BAD8EB"/>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BAD8EB"/>
          </w:tcPr>
          <w:p>
            <w:pPr>
              <w:jc w:val="right"/>
              <w:ind w:right="100"/>
              <w:spacing w:after="0"/>
              <w:rPr>
                <w:sz w:val="20"/>
                <w:szCs w:val="20"/>
                <w:color w:val="auto"/>
              </w:rPr>
            </w:pPr>
            <w:r>
              <w:rPr>
                <w:rFonts w:ascii="Times New Roman" w:cs="Times New Roman" w:eastAsia="Times New Roman" w:hAnsi="Times New Roman"/>
                <w:sz w:val="18"/>
                <w:szCs w:val="18"/>
                <w:color w:val="auto"/>
              </w:rPr>
              <w:t>6,448,630</w:t>
            </w:r>
          </w:p>
        </w:tc>
        <w:tc>
          <w:tcPr>
            <w:tcW w:w="94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BAD8EB"/>
          </w:tcPr>
          <w:p>
            <w:pPr>
              <w:jc w:val="right"/>
              <w:ind w:right="335"/>
              <w:spacing w:after="0"/>
              <w:rPr>
                <w:sz w:val="20"/>
                <w:szCs w:val="20"/>
                <w:color w:val="auto"/>
              </w:rPr>
            </w:pPr>
            <w:r>
              <w:rPr>
                <w:rFonts w:ascii="Times New Roman" w:cs="Times New Roman" w:eastAsia="Times New Roman" w:hAnsi="Times New Roman"/>
                <w:sz w:val="18"/>
                <w:szCs w:val="18"/>
                <w:color w:val="auto"/>
              </w:rPr>
              <w:t>207,000</w:t>
            </w:r>
          </w:p>
        </w:tc>
        <w:tc>
          <w:tcPr>
            <w:tcW w:w="100" w:type="dxa"/>
            <w:vAlign w:val="bottom"/>
            <w:shd w:val="clear" w:color="auto" w:fill="BAD8EB"/>
          </w:tcPr>
          <w:p>
            <w:pPr>
              <w:spacing w:after="0"/>
              <w:rPr>
                <w:sz w:val="21"/>
                <w:szCs w:val="21"/>
                <w:color w:val="auto"/>
              </w:rPr>
            </w:pPr>
          </w:p>
        </w:tc>
        <w:tc>
          <w:tcPr>
            <w:tcW w:w="1420" w:type="dxa"/>
            <w:vAlign w:val="bottom"/>
            <w:gridSpan w:val="2"/>
            <w:shd w:val="clear" w:color="auto" w:fill="BAD8EB"/>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7,115,630</w:t>
            </w:r>
          </w:p>
        </w:tc>
        <w:tc>
          <w:tcPr>
            <w:tcW w:w="0" w:type="dxa"/>
            <w:vAlign w:val="bottom"/>
          </w:tcPr>
          <w:p>
            <w:pPr>
              <w:spacing w:after="0"/>
              <w:rPr>
                <w:sz w:val="1"/>
                <w:szCs w:val="1"/>
                <w:color w:val="auto"/>
              </w:rPr>
            </w:pPr>
          </w:p>
        </w:tc>
      </w:tr>
      <w:tr>
        <w:trPr>
          <w:trHeight w:val="209"/>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Datta</w:t>
            </w:r>
          </w:p>
        </w:tc>
        <w:tc>
          <w:tcPr>
            <w:tcW w:w="14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482,083</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1,999,396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1,955,498</w:t>
            </w:r>
          </w:p>
        </w:tc>
        <w:tc>
          <w:tcPr>
            <w:tcW w:w="15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385,900</w:t>
            </w:r>
          </w:p>
        </w:tc>
        <w:tc>
          <w:tcPr>
            <w:tcW w:w="10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4,827,377</w:t>
            </w:r>
          </w:p>
        </w:tc>
        <w:tc>
          <w:tcPr>
            <w:tcW w:w="0" w:type="dxa"/>
            <w:vAlign w:val="bottom"/>
          </w:tcPr>
          <w:p>
            <w:pPr>
              <w:spacing w:after="0"/>
              <w:rPr>
                <w:sz w:val="1"/>
                <w:szCs w:val="1"/>
                <w:color w:val="auto"/>
              </w:rPr>
            </w:pPr>
          </w:p>
        </w:tc>
      </w:tr>
      <w:tr>
        <w:trPr>
          <w:trHeight w:val="218"/>
        </w:trPr>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447,917</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1,623,064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1,575,926</w:t>
            </w:r>
          </w:p>
        </w:tc>
        <w:tc>
          <w:tcPr>
            <w:tcW w:w="15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749,694</w:t>
            </w:r>
          </w:p>
        </w:tc>
        <w:tc>
          <w:tcPr>
            <w:tcW w:w="10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4,401,101</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423,750</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2,550,012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2,552,518</w:t>
            </w:r>
          </w:p>
        </w:tc>
        <w:tc>
          <w:tcPr>
            <w:tcW w:w="15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210,551</w:t>
            </w:r>
          </w:p>
        </w:tc>
        <w:tc>
          <w:tcPr>
            <w:tcW w:w="100" w:type="dxa"/>
            <w:vAlign w:val="bottom"/>
          </w:tcPr>
          <w:p>
            <w:pPr>
              <w:spacing w:after="0"/>
              <w:rPr>
                <w:sz w:val="20"/>
                <w:szCs w:val="20"/>
                <w:color w:val="auto"/>
              </w:rPr>
            </w:pPr>
          </w:p>
        </w:tc>
        <w:tc>
          <w:tcPr>
            <w:tcW w:w="13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5,740,248</w:t>
            </w:r>
          </w:p>
        </w:tc>
        <w:tc>
          <w:tcPr>
            <w:tcW w:w="0" w:type="dxa"/>
            <w:vAlign w:val="bottom"/>
          </w:tcPr>
          <w:p>
            <w:pPr>
              <w:spacing w:after="0"/>
              <w:rPr>
                <w:sz w:val="1"/>
                <w:szCs w:val="1"/>
                <w:color w:val="auto"/>
              </w:rPr>
            </w:pPr>
          </w:p>
        </w:tc>
      </w:tr>
      <w:tr>
        <w:trPr>
          <w:trHeight w:val="61"/>
        </w:trPr>
        <w:tc>
          <w:tcPr>
            <w:tcW w:w="1760" w:type="dxa"/>
            <w:vAlign w:val="bottom"/>
            <w:tcBorders>
              <w:bottom w:val="single" w:sz="8" w:color="BAD8EB"/>
            </w:tcBorders>
          </w:tcPr>
          <w:p>
            <w:pPr>
              <w:spacing w:after="0"/>
              <w:rPr>
                <w:sz w:val="5"/>
                <w:szCs w:val="5"/>
                <w:color w:val="auto"/>
              </w:rPr>
            </w:pPr>
          </w:p>
        </w:tc>
        <w:tc>
          <w:tcPr>
            <w:tcW w:w="1160" w:type="dxa"/>
            <w:vAlign w:val="bottom"/>
            <w:tcBorders>
              <w:bottom w:val="single" w:sz="8" w:color="BAD8EB"/>
            </w:tcBorders>
          </w:tcPr>
          <w:p>
            <w:pPr>
              <w:spacing w:after="0"/>
              <w:rPr>
                <w:sz w:val="5"/>
                <w:szCs w:val="5"/>
                <w:color w:val="auto"/>
              </w:rPr>
            </w:pPr>
          </w:p>
        </w:tc>
        <w:tc>
          <w:tcPr>
            <w:tcW w:w="560" w:type="dxa"/>
            <w:vAlign w:val="bottom"/>
            <w:tcBorders>
              <w:bottom w:val="single" w:sz="8" w:color="BAD8EB"/>
            </w:tcBorders>
            <w:gridSpan w:val="2"/>
          </w:tcPr>
          <w:p>
            <w:pPr>
              <w:spacing w:after="0"/>
              <w:rPr>
                <w:sz w:val="5"/>
                <w:szCs w:val="5"/>
                <w:color w:val="auto"/>
              </w:rPr>
            </w:pPr>
          </w:p>
        </w:tc>
        <w:tc>
          <w:tcPr>
            <w:tcW w:w="100" w:type="dxa"/>
            <w:vAlign w:val="bottom"/>
            <w:tcBorders>
              <w:bottom w:val="single" w:sz="8" w:color="BAD8EB"/>
            </w:tcBorders>
          </w:tcPr>
          <w:p>
            <w:pPr>
              <w:spacing w:after="0"/>
              <w:rPr>
                <w:sz w:val="5"/>
                <w:szCs w:val="5"/>
                <w:color w:val="auto"/>
              </w:rPr>
            </w:pPr>
          </w:p>
        </w:tc>
        <w:tc>
          <w:tcPr>
            <w:tcW w:w="700" w:type="dxa"/>
            <w:vAlign w:val="bottom"/>
            <w:tcBorders>
              <w:bottom w:val="single" w:sz="8" w:color="BAD8EB"/>
            </w:tcBorders>
          </w:tcPr>
          <w:p>
            <w:pPr>
              <w:spacing w:after="0"/>
              <w:rPr>
                <w:sz w:val="5"/>
                <w:szCs w:val="5"/>
                <w:color w:val="auto"/>
              </w:rPr>
            </w:pPr>
          </w:p>
        </w:tc>
        <w:tc>
          <w:tcPr>
            <w:tcW w:w="80" w:type="dxa"/>
            <w:vAlign w:val="bottom"/>
            <w:tcBorders>
              <w:bottom w:val="single" w:sz="8" w:color="BAD8EB"/>
            </w:tcBorders>
          </w:tcPr>
          <w:p>
            <w:pPr>
              <w:spacing w:after="0"/>
              <w:rPr>
                <w:sz w:val="5"/>
                <w:szCs w:val="5"/>
                <w:color w:val="auto"/>
              </w:rPr>
            </w:pPr>
          </w:p>
        </w:tc>
        <w:tc>
          <w:tcPr>
            <w:tcW w:w="840" w:type="dxa"/>
            <w:vAlign w:val="bottom"/>
            <w:tcBorders>
              <w:bottom w:val="single" w:sz="8" w:color="BAD8EB"/>
            </w:tcBorders>
          </w:tcPr>
          <w:p>
            <w:pPr>
              <w:spacing w:after="0"/>
              <w:rPr>
                <w:sz w:val="5"/>
                <w:szCs w:val="5"/>
                <w:color w:val="auto"/>
              </w:rPr>
            </w:pPr>
          </w:p>
        </w:tc>
        <w:tc>
          <w:tcPr>
            <w:tcW w:w="80" w:type="dxa"/>
            <w:vAlign w:val="bottom"/>
            <w:tcBorders>
              <w:bottom w:val="single" w:sz="8" w:color="BAD8EB"/>
            </w:tcBorders>
          </w:tcPr>
          <w:p>
            <w:pPr>
              <w:spacing w:after="0"/>
              <w:rPr>
                <w:sz w:val="5"/>
                <w:szCs w:val="5"/>
                <w:color w:val="auto"/>
              </w:rPr>
            </w:pPr>
          </w:p>
        </w:tc>
        <w:tc>
          <w:tcPr>
            <w:tcW w:w="840" w:type="dxa"/>
            <w:vAlign w:val="bottom"/>
            <w:tcBorders>
              <w:bottom w:val="single" w:sz="8" w:color="BAD8EB"/>
            </w:tcBorders>
          </w:tcPr>
          <w:p>
            <w:pPr>
              <w:spacing w:after="0"/>
              <w:rPr>
                <w:sz w:val="5"/>
                <w:szCs w:val="5"/>
                <w:color w:val="auto"/>
              </w:rPr>
            </w:pPr>
          </w:p>
        </w:tc>
        <w:tc>
          <w:tcPr>
            <w:tcW w:w="100" w:type="dxa"/>
            <w:vAlign w:val="bottom"/>
            <w:tcBorders>
              <w:bottom w:val="single" w:sz="8" w:color="BAD8EB"/>
            </w:tcBorders>
          </w:tcPr>
          <w:p>
            <w:pPr>
              <w:spacing w:after="0"/>
              <w:rPr>
                <w:sz w:val="5"/>
                <w:szCs w:val="5"/>
                <w:color w:val="auto"/>
              </w:rPr>
            </w:pPr>
          </w:p>
        </w:tc>
        <w:tc>
          <w:tcPr>
            <w:tcW w:w="840" w:type="dxa"/>
            <w:vAlign w:val="bottom"/>
            <w:tcBorders>
              <w:bottom w:val="single" w:sz="8" w:color="BAD8EB"/>
            </w:tcBorders>
          </w:tcPr>
          <w:p>
            <w:pPr>
              <w:spacing w:after="0"/>
              <w:rPr>
                <w:sz w:val="5"/>
                <w:szCs w:val="5"/>
                <w:color w:val="auto"/>
              </w:rPr>
            </w:pPr>
          </w:p>
        </w:tc>
        <w:tc>
          <w:tcPr>
            <w:tcW w:w="100" w:type="dxa"/>
            <w:vAlign w:val="bottom"/>
            <w:tcBorders>
              <w:bottom w:val="single" w:sz="8" w:color="BAD8EB"/>
            </w:tcBorders>
          </w:tcPr>
          <w:p>
            <w:pPr>
              <w:spacing w:after="0"/>
              <w:rPr>
                <w:sz w:val="5"/>
                <w:szCs w:val="5"/>
                <w:color w:val="auto"/>
              </w:rPr>
            </w:pPr>
          </w:p>
        </w:tc>
        <w:tc>
          <w:tcPr>
            <w:tcW w:w="1500" w:type="dxa"/>
            <w:vAlign w:val="bottom"/>
            <w:tcBorders>
              <w:bottom w:val="single" w:sz="8" w:color="BAD8EB"/>
            </w:tcBorders>
          </w:tcPr>
          <w:p>
            <w:pPr>
              <w:spacing w:after="0"/>
              <w:rPr>
                <w:sz w:val="5"/>
                <w:szCs w:val="5"/>
                <w:color w:val="auto"/>
              </w:rPr>
            </w:pPr>
          </w:p>
        </w:tc>
        <w:tc>
          <w:tcPr>
            <w:tcW w:w="100" w:type="dxa"/>
            <w:vAlign w:val="bottom"/>
            <w:tcBorders>
              <w:bottom w:val="single" w:sz="8" w:color="BAD8EB"/>
            </w:tcBorders>
          </w:tcPr>
          <w:p>
            <w:pPr>
              <w:spacing w:after="0"/>
              <w:rPr>
                <w:sz w:val="5"/>
                <w:szCs w:val="5"/>
                <w:color w:val="auto"/>
              </w:rPr>
            </w:pPr>
          </w:p>
        </w:tc>
        <w:tc>
          <w:tcPr>
            <w:tcW w:w="1320" w:type="dxa"/>
            <w:vAlign w:val="bottom"/>
            <w:tcBorders>
              <w:bottom w:val="single" w:sz="8" w:color="BAD8EB"/>
            </w:tcBorders>
          </w:tcPr>
          <w:p>
            <w:pPr>
              <w:spacing w:after="0"/>
              <w:rPr>
                <w:sz w:val="5"/>
                <w:szCs w:val="5"/>
                <w:color w:val="auto"/>
              </w:rPr>
            </w:pPr>
          </w:p>
        </w:tc>
        <w:tc>
          <w:tcPr>
            <w:tcW w:w="100" w:type="dxa"/>
            <w:vAlign w:val="bottom"/>
            <w:tcBorders>
              <w:bottom w:val="single" w:sz="8" w:color="BAD8EB"/>
            </w:tcBorders>
          </w:tcPr>
          <w:p>
            <w:pPr>
              <w:spacing w:after="0"/>
              <w:rPr>
                <w:sz w:val="5"/>
                <w:szCs w:val="5"/>
                <w:color w:val="auto"/>
              </w:rPr>
            </w:pPr>
          </w:p>
        </w:tc>
        <w:tc>
          <w:tcPr>
            <w:tcW w:w="840" w:type="dxa"/>
            <w:vAlign w:val="bottom"/>
            <w:tcBorders>
              <w:bottom w:val="single" w:sz="8" w:color="BAD8EB"/>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BAD8EB"/>
          </w:tcPr>
          <w:p>
            <w:pPr>
              <w:spacing w:after="0" w:line="216" w:lineRule="exact"/>
              <w:rPr>
                <w:sz w:val="20"/>
                <w:szCs w:val="20"/>
                <w:color w:val="auto"/>
              </w:rPr>
            </w:pPr>
            <w:r>
              <w:rPr>
                <w:rFonts w:ascii="Times New Roman" w:cs="Times New Roman" w:eastAsia="Times New Roman" w:hAnsi="Times New Roman"/>
                <w:sz w:val="17"/>
                <w:szCs w:val="17"/>
                <w:color w:val="auto"/>
              </w:rPr>
              <w:t>Paul Gu</w:t>
            </w:r>
            <w:r>
              <w:rPr>
                <w:rFonts w:ascii="Times New Roman" w:cs="Times New Roman" w:eastAsia="Times New Roman" w:hAnsi="Times New Roman"/>
                <w:sz w:val="25"/>
                <w:szCs w:val="25"/>
                <w:color w:val="auto"/>
                <w:vertAlign w:val="superscript"/>
              </w:rPr>
              <w:t>(5)</w:t>
            </w:r>
          </w:p>
        </w:tc>
        <w:tc>
          <w:tcPr>
            <w:tcW w:w="140" w:type="dxa"/>
            <w:vAlign w:val="bottom"/>
            <w:tcBorders>
              <w:right w:val="single" w:sz="8" w:color="BAD8EB"/>
            </w:tcBorders>
            <w:shd w:val="clear" w:color="auto" w:fill="BAD8EB"/>
          </w:tcPr>
          <w:p>
            <w:pPr>
              <w:spacing w:after="0"/>
              <w:rPr>
                <w:sz w:val="18"/>
                <w:szCs w:val="18"/>
                <w:color w:val="auto"/>
              </w:rPr>
            </w:pPr>
          </w:p>
        </w:tc>
        <w:tc>
          <w:tcPr>
            <w:tcW w:w="420" w:type="dxa"/>
            <w:vAlign w:val="bottom"/>
            <w:shd w:val="clear" w:color="auto" w:fill="BAD8EB"/>
          </w:tcPr>
          <w:p>
            <w:pPr>
              <w:ind w:left="6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shd w:val="clear" w:color="auto" w:fill="BAD8EB"/>
          </w:tcPr>
          <w:p>
            <w:pPr>
              <w:spacing w:after="0"/>
              <w:rPr>
                <w:sz w:val="18"/>
                <w:szCs w:val="18"/>
                <w:color w:val="auto"/>
              </w:rPr>
            </w:pPr>
          </w:p>
        </w:tc>
        <w:tc>
          <w:tcPr>
            <w:tcW w:w="780" w:type="dxa"/>
            <w:vAlign w:val="bottom"/>
            <w:gridSpan w:val="2"/>
            <w:shd w:val="clear" w:color="auto" w:fill="BAD8EB"/>
          </w:tcPr>
          <w:p>
            <w:pPr>
              <w:jc w:val="right"/>
              <w:ind w:right="80"/>
              <w:spacing w:after="0"/>
              <w:rPr>
                <w:sz w:val="20"/>
                <w:szCs w:val="20"/>
                <w:color w:val="auto"/>
              </w:rPr>
            </w:pPr>
            <w:r>
              <w:rPr>
                <w:rFonts w:ascii="Times New Roman" w:cs="Times New Roman" w:eastAsia="Times New Roman" w:hAnsi="Times New Roman"/>
                <w:sz w:val="18"/>
                <w:szCs w:val="18"/>
                <w:color w:val="auto"/>
              </w:rPr>
              <w:t>482,083</w:t>
            </w:r>
          </w:p>
        </w:tc>
        <w:tc>
          <w:tcPr>
            <w:tcW w:w="920" w:type="dxa"/>
            <w:vAlign w:val="bottom"/>
            <w:gridSpan w:val="2"/>
            <w:shd w:val="clear" w:color="auto" w:fill="BAD8EB"/>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BAD8EB"/>
          </w:tcPr>
          <w:p>
            <w:pPr>
              <w:jc w:val="right"/>
              <w:ind w:right="100"/>
              <w:spacing w:after="0"/>
              <w:rPr>
                <w:sz w:val="20"/>
                <w:szCs w:val="20"/>
                <w:color w:val="auto"/>
              </w:rPr>
            </w:pPr>
            <w:r>
              <w:rPr>
                <w:rFonts w:ascii="Times New Roman" w:cs="Times New Roman" w:eastAsia="Times New Roman" w:hAnsi="Times New Roman"/>
                <w:sz w:val="18"/>
                <w:szCs w:val="18"/>
                <w:color w:val="auto"/>
              </w:rPr>
              <w:t>1,999,396</w:t>
            </w:r>
          </w:p>
        </w:tc>
        <w:tc>
          <w:tcPr>
            <w:tcW w:w="940" w:type="dxa"/>
            <w:vAlign w:val="bottom"/>
            <w:gridSpan w:val="2"/>
            <w:shd w:val="clear" w:color="auto" w:fill="BAD8EB"/>
          </w:tcPr>
          <w:p>
            <w:pPr>
              <w:jc w:val="right"/>
              <w:ind w:right="100"/>
              <w:spacing w:after="0"/>
              <w:rPr>
                <w:sz w:val="20"/>
                <w:szCs w:val="20"/>
                <w:color w:val="auto"/>
              </w:rPr>
            </w:pPr>
            <w:r>
              <w:rPr>
                <w:rFonts w:ascii="Times New Roman" w:cs="Times New Roman" w:eastAsia="Times New Roman" w:hAnsi="Times New Roman"/>
                <w:sz w:val="18"/>
                <w:szCs w:val="18"/>
                <w:color w:val="auto"/>
              </w:rPr>
              <w:t>1,955,498</w:t>
            </w:r>
          </w:p>
        </w:tc>
        <w:tc>
          <w:tcPr>
            <w:tcW w:w="1500" w:type="dxa"/>
            <w:vAlign w:val="bottom"/>
            <w:shd w:val="clear" w:color="auto" w:fill="BAD8EB"/>
          </w:tcPr>
          <w:p>
            <w:pPr>
              <w:jc w:val="right"/>
              <w:ind w:right="335"/>
              <w:spacing w:after="0"/>
              <w:rPr>
                <w:sz w:val="20"/>
                <w:szCs w:val="20"/>
                <w:color w:val="auto"/>
              </w:rPr>
            </w:pPr>
            <w:r>
              <w:rPr>
                <w:rFonts w:ascii="Times New Roman" w:cs="Times New Roman" w:eastAsia="Times New Roman" w:hAnsi="Times New Roman"/>
                <w:sz w:val="18"/>
                <w:szCs w:val="18"/>
                <w:color w:val="auto"/>
              </w:rPr>
              <w:t>408,337</w:t>
            </w:r>
          </w:p>
        </w:tc>
        <w:tc>
          <w:tcPr>
            <w:tcW w:w="100" w:type="dxa"/>
            <w:vAlign w:val="bottom"/>
            <w:shd w:val="clear" w:color="auto" w:fill="BAD8EB"/>
          </w:tcPr>
          <w:p>
            <w:pPr>
              <w:spacing w:after="0"/>
              <w:rPr>
                <w:sz w:val="18"/>
                <w:szCs w:val="18"/>
                <w:color w:val="auto"/>
              </w:rPr>
            </w:pPr>
          </w:p>
        </w:tc>
        <w:tc>
          <w:tcPr>
            <w:tcW w:w="1320" w:type="dxa"/>
            <w:vAlign w:val="bottom"/>
            <w:shd w:val="clear" w:color="auto" w:fill="BAD8EB"/>
          </w:tcPr>
          <w:p>
            <w:pPr>
              <w:jc w:val="right"/>
              <w:ind w:right="354"/>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BAD8EB"/>
          </w:tcPr>
          <w:p>
            <w:pPr>
              <w:spacing w:after="0"/>
              <w:rPr>
                <w:sz w:val="18"/>
                <w:szCs w:val="18"/>
                <w:color w:val="auto"/>
              </w:rPr>
            </w:pPr>
          </w:p>
        </w:tc>
        <w:tc>
          <w:tcPr>
            <w:tcW w:w="84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4,849,814</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BAD8EB"/>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140" w:type="dxa"/>
            <w:vAlign w:val="bottom"/>
            <w:tcBorders>
              <w:right w:val="single" w:sz="8" w:color="BAD8EB"/>
            </w:tcBorders>
            <w:shd w:val="clear" w:color="auto" w:fill="BAD8EB"/>
          </w:tcPr>
          <w:p>
            <w:pPr>
              <w:spacing w:after="0"/>
              <w:rPr>
                <w:sz w:val="18"/>
                <w:szCs w:val="18"/>
                <w:color w:val="auto"/>
              </w:rPr>
            </w:pPr>
          </w:p>
        </w:tc>
        <w:tc>
          <w:tcPr>
            <w:tcW w:w="420" w:type="dxa"/>
            <w:vAlign w:val="bottom"/>
            <w:shd w:val="clear" w:color="auto" w:fill="BAD8EB"/>
          </w:tcPr>
          <w:p>
            <w:pPr>
              <w:ind w:left="6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shd w:val="clear" w:color="auto" w:fill="BAD8EB"/>
          </w:tcPr>
          <w:p>
            <w:pPr>
              <w:spacing w:after="0"/>
              <w:rPr>
                <w:sz w:val="18"/>
                <w:szCs w:val="18"/>
                <w:color w:val="auto"/>
              </w:rPr>
            </w:pPr>
          </w:p>
        </w:tc>
        <w:tc>
          <w:tcPr>
            <w:tcW w:w="780" w:type="dxa"/>
            <w:vAlign w:val="bottom"/>
            <w:gridSpan w:val="2"/>
            <w:shd w:val="clear" w:color="auto" w:fill="BAD8EB"/>
          </w:tcPr>
          <w:p>
            <w:pPr>
              <w:jc w:val="right"/>
              <w:ind w:right="80"/>
              <w:spacing w:after="0"/>
              <w:rPr>
                <w:sz w:val="20"/>
                <w:szCs w:val="20"/>
                <w:color w:val="auto"/>
              </w:rPr>
            </w:pPr>
            <w:r>
              <w:rPr>
                <w:rFonts w:ascii="Times New Roman" w:cs="Times New Roman" w:eastAsia="Times New Roman" w:hAnsi="Times New Roman"/>
                <w:sz w:val="18"/>
                <w:szCs w:val="18"/>
                <w:color w:val="auto"/>
              </w:rPr>
              <w:t>447,917</w:t>
            </w:r>
          </w:p>
        </w:tc>
        <w:tc>
          <w:tcPr>
            <w:tcW w:w="920" w:type="dxa"/>
            <w:vAlign w:val="bottom"/>
            <w:gridSpan w:val="2"/>
            <w:shd w:val="clear" w:color="auto" w:fill="BAD8EB"/>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BAD8EB"/>
          </w:tcPr>
          <w:p>
            <w:pPr>
              <w:jc w:val="right"/>
              <w:ind w:right="100"/>
              <w:spacing w:after="0"/>
              <w:rPr>
                <w:sz w:val="20"/>
                <w:szCs w:val="20"/>
                <w:color w:val="auto"/>
              </w:rPr>
            </w:pPr>
            <w:r>
              <w:rPr>
                <w:rFonts w:ascii="Times New Roman" w:cs="Times New Roman" w:eastAsia="Times New Roman" w:hAnsi="Times New Roman"/>
                <w:sz w:val="18"/>
                <w:szCs w:val="18"/>
                <w:color w:val="auto"/>
              </w:rPr>
              <w:t>1,623,064</w:t>
            </w:r>
          </w:p>
        </w:tc>
        <w:tc>
          <w:tcPr>
            <w:tcW w:w="940" w:type="dxa"/>
            <w:vAlign w:val="bottom"/>
            <w:gridSpan w:val="2"/>
            <w:shd w:val="clear" w:color="auto" w:fill="BAD8EB"/>
          </w:tcPr>
          <w:p>
            <w:pPr>
              <w:jc w:val="right"/>
              <w:ind w:right="100"/>
              <w:spacing w:after="0"/>
              <w:rPr>
                <w:sz w:val="20"/>
                <w:szCs w:val="20"/>
                <w:color w:val="auto"/>
              </w:rPr>
            </w:pPr>
            <w:r>
              <w:rPr>
                <w:rFonts w:ascii="Times New Roman" w:cs="Times New Roman" w:eastAsia="Times New Roman" w:hAnsi="Times New Roman"/>
                <w:sz w:val="18"/>
                <w:szCs w:val="18"/>
                <w:color w:val="auto"/>
              </w:rPr>
              <w:t>1,575,926</w:t>
            </w:r>
          </w:p>
        </w:tc>
        <w:tc>
          <w:tcPr>
            <w:tcW w:w="1500" w:type="dxa"/>
            <w:vAlign w:val="bottom"/>
            <w:shd w:val="clear" w:color="auto" w:fill="BAD8EB"/>
          </w:tcPr>
          <w:p>
            <w:pPr>
              <w:jc w:val="right"/>
              <w:ind w:right="335"/>
              <w:spacing w:after="0"/>
              <w:rPr>
                <w:sz w:val="20"/>
                <w:szCs w:val="20"/>
                <w:color w:val="auto"/>
              </w:rPr>
            </w:pPr>
            <w:r>
              <w:rPr>
                <w:rFonts w:ascii="Times New Roman" w:cs="Times New Roman" w:eastAsia="Times New Roman" w:hAnsi="Times New Roman"/>
                <w:sz w:val="18"/>
                <w:szCs w:val="18"/>
                <w:color w:val="auto"/>
              </w:rPr>
              <w:t>749,694</w:t>
            </w:r>
          </w:p>
        </w:tc>
        <w:tc>
          <w:tcPr>
            <w:tcW w:w="100" w:type="dxa"/>
            <w:vAlign w:val="bottom"/>
            <w:shd w:val="clear" w:color="auto" w:fill="BAD8EB"/>
          </w:tcPr>
          <w:p>
            <w:pPr>
              <w:spacing w:after="0"/>
              <w:rPr>
                <w:sz w:val="18"/>
                <w:szCs w:val="18"/>
                <w:color w:val="auto"/>
              </w:rPr>
            </w:pPr>
          </w:p>
        </w:tc>
        <w:tc>
          <w:tcPr>
            <w:tcW w:w="1320" w:type="dxa"/>
            <w:vAlign w:val="bottom"/>
            <w:shd w:val="clear" w:color="auto" w:fill="BAD8EB"/>
          </w:tcPr>
          <w:p>
            <w:pPr>
              <w:jc w:val="right"/>
              <w:ind w:right="354"/>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BAD8EB"/>
          </w:tcPr>
          <w:p>
            <w:pPr>
              <w:spacing w:after="0"/>
              <w:rPr>
                <w:sz w:val="18"/>
                <w:szCs w:val="18"/>
                <w:color w:val="auto"/>
              </w:rPr>
            </w:pPr>
          </w:p>
        </w:tc>
        <w:tc>
          <w:tcPr>
            <w:tcW w:w="84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4,401,101</w:t>
            </w:r>
          </w:p>
        </w:tc>
        <w:tc>
          <w:tcPr>
            <w:tcW w:w="0" w:type="dxa"/>
            <w:vAlign w:val="bottom"/>
          </w:tcPr>
          <w:p>
            <w:pPr>
              <w:spacing w:after="0"/>
              <w:rPr>
                <w:sz w:val="1"/>
                <w:szCs w:val="1"/>
                <w:color w:val="auto"/>
              </w:rPr>
            </w:pPr>
          </w:p>
        </w:tc>
      </w:tr>
      <w:tr>
        <w:trPr>
          <w:trHeight w:val="243"/>
        </w:trPr>
        <w:tc>
          <w:tcPr>
            <w:tcW w:w="1760" w:type="dxa"/>
            <w:vAlign w:val="bottom"/>
            <w:shd w:val="clear" w:color="auto" w:fill="BAD8EB"/>
          </w:tcPr>
          <w:p>
            <w:pPr>
              <w:spacing w:after="0"/>
              <w:rPr>
                <w:sz w:val="21"/>
                <w:szCs w:val="21"/>
                <w:color w:val="auto"/>
              </w:rPr>
            </w:pPr>
          </w:p>
        </w:tc>
        <w:tc>
          <w:tcPr>
            <w:tcW w:w="1160" w:type="dxa"/>
            <w:vAlign w:val="bottom"/>
            <w:shd w:val="clear" w:color="auto" w:fill="BAD8EB"/>
          </w:tcPr>
          <w:p>
            <w:pPr>
              <w:spacing w:after="0"/>
              <w:rPr>
                <w:sz w:val="21"/>
                <w:szCs w:val="21"/>
                <w:color w:val="auto"/>
              </w:rPr>
            </w:pPr>
          </w:p>
        </w:tc>
        <w:tc>
          <w:tcPr>
            <w:tcW w:w="140" w:type="dxa"/>
            <w:vAlign w:val="bottom"/>
            <w:tcBorders>
              <w:right w:val="single" w:sz="8" w:color="BAD8EB"/>
            </w:tcBorders>
            <w:shd w:val="clear" w:color="auto" w:fill="BAD8EB"/>
          </w:tcPr>
          <w:p>
            <w:pPr>
              <w:spacing w:after="0"/>
              <w:rPr>
                <w:sz w:val="21"/>
                <w:szCs w:val="21"/>
                <w:color w:val="auto"/>
              </w:rPr>
            </w:pPr>
          </w:p>
        </w:tc>
        <w:tc>
          <w:tcPr>
            <w:tcW w:w="420" w:type="dxa"/>
            <w:vAlign w:val="bottom"/>
            <w:shd w:val="clear" w:color="auto" w:fill="BAD8EB"/>
          </w:tcPr>
          <w:p>
            <w:pPr>
              <w:ind w:left="6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shd w:val="clear" w:color="auto" w:fill="BAD8EB"/>
          </w:tcPr>
          <w:p>
            <w:pPr>
              <w:spacing w:after="0"/>
              <w:rPr>
                <w:sz w:val="21"/>
                <w:szCs w:val="21"/>
                <w:color w:val="auto"/>
              </w:rPr>
            </w:pPr>
          </w:p>
        </w:tc>
        <w:tc>
          <w:tcPr>
            <w:tcW w:w="780" w:type="dxa"/>
            <w:vAlign w:val="bottom"/>
            <w:gridSpan w:val="2"/>
            <w:shd w:val="clear" w:color="auto" w:fill="BAD8EB"/>
          </w:tcPr>
          <w:p>
            <w:pPr>
              <w:jc w:val="right"/>
              <w:ind w:right="80"/>
              <w:spacing w:after="0"/>
              <w:rPr>
                <w:sz w:val="20"/>
                <w:szCs w:val="20"/>
                <w:color w:val="auto"/>
              </w:rPr>
            </w:pPr>
            <w:r>
              <w:rPr>
                <w:rFonts w:ascii="Times New Roman" w:cs="Times New Roman" w:eastAsia="Times New Roman" w:hAnsi="Times New Roman"/>
                <w:sz w:val="18"/>
                <w:szCs w:val="18"/>
                <w:color w:val="auto"/>
              </w:rPr>
              <w:t>390,833</w:t>
            </w:r>
          </w:p>
        </w:tc>
        <w:tc>
          <w:tcPr>
            <w:tcW w:w="920" w:type="dxa"/>
            <w:vAlign w:val="bottom"/>
            <w:gridSpan w:val="2"/>
            <w:shd w:val="clear" w:color="auto" w:fill="BAD8EB"/>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BAD8EB"/>
          </w:tcPr>
          <w:p>
            <w:pPr>
              <w:jc w:val="right"/>
              <w:ind w:right="100"/>
              <w:spacing w:after="0"/>
              <w:rPr>
                <w:sz w:val="20"/>
                <w:szCs w:val="20"/>
                <w:color w:val="auto"/>
              </w:rPr>
            </w:pPr>
            <w:r>
              <w:rPr>
                <w:rFonts w:ascii="Times New Roman" w:cs="Times New Roman" w:eastAsia="Times New Roman" w:hAnsi="Times New Roman"/>
                <w:sz w:val="18"/>
                <w:szCs w:val="18"/>
                <w:color w:val="auto"/>
              </w:rPr>
              <w:t>2,548,468</w:t>
            </w:r>
          </w:p>
        </w:tc>
        <w:tc>
          <w:tcPr>
            <w:tcW w:w="940" w:type="dxa"/>
            <w:vAlign w:val="bottom"/>
            <w:gridSpan w:val="2"/>
            <w:shd w:val="clear" w:color="auto" w:fill="BAD8EB"/>
          </w:tcPr>
          <w:p>
            <w:pPr>
              <w:jc w:val="right"/>
              <w:ind w:right="100"/>
              <w:spacing w:after="0"/>
              <w:rPr>
                <w:sz w:val="20"/>
                <w:szCs w:val="20"/>
                <w:color w:val="auto"/>
              </w:rPr>
            </w:pPr>
            <w:r>
              <w:rPr>
                <w:rFonts w:ascii="Times New Roman" w:cs="Times New Roman" w:eastAsia="Times New Roman" w:hAnsi="Times New Roman"/>
                <w:sz w:val="18"/>
                <w:szCs w:val="18"/>
                <w:color w:val="auto"/>
              </w:rPr>
              <w:t>2,552,518</w:t>
            </w:r>
          </w:p>
        </w:tc>
        <w:tc>
          <w:tcPr>
            <w:tcW w:w="1500" w:type="dxa"/>
            <w:vAlign w:val="bottom"/>
            <w:shd w:val="clear" w:color="auto" w:fill="BAD8EB"/>
          </w:tcPr>
          <w:p>
            <w:pPr>
              <w:jc w:val="right"/>
              <w:ind w:right="335"/>
              <w:spacing w:after="0"/>
              <w:rPr>
                <w:sz w:val="20"/>
                <w:szCs w:val="20"/>
                <w:color w:val="auto"/>
              </w:rPr>
            </w:pPr>
            <w:r>
              <w:rPr>
                <w:rFonts w:ascii="Times New Roman" w:cs="Times New Roman" w:eastAsia="Times New Roman" w:hAnsi="Times New Roman"/>
                <w:sz w:val="18"/>
                <w:szCs w:val="18"/>
                <w:color w:val="auto"/>
              </w:rPr>
              <w:t>194,195</w:t>
            </w:r>
          </w:p>
        </w:tc>
        <w:tc>
          <w:tcPr>
            <w:tcW w:w="100" w:type="dxa"/>
            <w:vAlign w:val="bottom"/>
            <w:shd w:val="clear" w:color="auto" w:fill="BAD8EB"/>
          </w:tcPr>
          <w:p>
            <w:pPr>
              <w:spacing w:after="0"/>
              <w:rPr>
                <w:sz w:val="21"/>
                <w:szCs w:val="21"/>
                <w:color w:val="auto"/>
              </w:rPr>
            </w:pPr>
          </w:p>
        </w:tc>
        <w:tc>
          <w:tcPr>
            <w:tcW w:w="1320" w:type="dxa"/>
            <w:vAlign w:val="bottom"/>
            <w:shd w:val="clear" w:color="auto" w:fill="BAD8EB"/>
          </w:tcPr>
          <w:p>
            <w:pPr>
              <w:jc w:val="right"/>
              <w:ind w:right="354"/>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BAD8EB"/>
          </w:tcPr>
          <w:p>
            <w:pPr>
              <w:spacing w:after="0"/>
              <w:rPr>
                <w:sz w:val="21"/>
                <w:szCs w:val="21"/>
                <w:color w:val="auto"/>
              </w:rPr>
            </w:pPr>
          </w:p>
        </w:tc>
        <w:tc>
          <w:tcPr>
            <w:tcW w:w="84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5,690,514</w:t>
            </w:r>
          </w:p>
        </w:tc>
        <w:tc>
          <w:tcPr>
            <w:tcW w:w="0" w:type="dxa"/>
            <w:vAlign w:val="bottom"/>
          </w:tcPr>
          <w:p>
            <w:pPr>
              <w:spacing w:after="0"/>
              <w:rPr>
                <w:sz w:val="1"/>
                <w:szCs w:val="1"/>
                <w:color w:val="auto"/>
              </w:rPr>
            </w:pPr>
          </w:p>
        </w:tc>
      </w:tr>
      <w:tr>
        <w:trPr>
          <w:trHeight w:val="209"/>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Darling</w:t>
            </w:r>
          </w:p>
        </w:tc>
        <w:tc>
          <w:tcPr>
            <w:tcW w:w="14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435,000</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1,005,699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977,782</w:t>
            </w:r>
          </w:p>
        </w:tc>
        <w:tc>
          <w:tcPr>
            <w:tcW w:w="15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328,002</w:t>
            </w:r>
          </w:p>
        </w:tc>
        <w:tc>
          <w:tcPr>
            <w:tcW w:w="10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2,750,983</w:t>
            </w:r>
          </w:p>
        </w:tc>
        <w:tc>
          <w:tcPr>
            <w:tcW w:w="0" w:type="dxa"/>
            <w:vAlign w:val="bottom"/>
          </w:tcPr>
          <w:p>
            <w:pPr>
              <w:spacing w:after="0"/>
              <w:rPr>
                <w:sz w:val="1"/>
                <w:szCs w:val="1"/>
                <w:color w:val="auto"/>
              </w:rPr>
            </w:pPr>
          </w:p>
        </w:tc>
      </w:tr>
      <w:tr>
        <w:trPr>
          <w:trHeight w:val="216"/>
        </w:trPr>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Legal Officer and Corporate</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432,917</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846,924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787,976</w:t>
            </w:r>
          </w:p>
        </w:tc>
        <w:tc>
          <w:tcPr>
            <w:tcW w:w="15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483,059</w:t>
            </w:r>
          </w:p>
        </w:tc>
        <w:tc>
          <w:tcPr>
            <w:tcW w:w="10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2,555,376</w:t>
            </w:r>
          </w:p>
        </w:tc>
        <w:tc>
          <w:tcPr>
            <w:tcW w:w="0" w:type="dxa"/>
            <w:vAlign w:val="bottom"/>
          </w:tcPr>
          <w:p>
            <w:pPr>
              <w:spacing w:after="0"/>
              <w:rPr>
                <w:sz w:val="1"/>
                <w:szCs w:val="1"/>
                <w:color w:val="auto"/>
              </w:rPr>
            </w:pPr>
          </w:p>
        </w:tc>
      </w:tr>
      <w:tr>
        <w:trPr>
          <w:trHeight w:val="362"/>
        </w:trPr>
        <w:tc>
          <w:tcPr>
            <w:tcW w:w="292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410,000</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92,603</w:t>
            </w:r>
            <w:r>
              <w:rPr>
                <w:rFonts w:ascii="Times New Roman" w:cs="Times New Roman" w:eastAsia="Times New Roman" w:hAnsi="Times New Roman"/>
                <w:sz w:val="26"/>
                <w:szCs w:val="26"/>
                <w:color w:val="auto"/>
                <w:vertAlign w:val="superscript"/>
              </w:rPr>
              <w:t>(6)</w:t>
            </w: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180,656</w:t>
            </w:r>
          </w:p>
        </w:tc>
        <w:tc>
          <w:tcPr>
            <w:tcW w:w="100" w:type="dxa"/>
            <w:vAlign w:val="bottom"/>
          </w:tcPr>
          <w:p>
            <w:pPr>
              <w:spacing w:after="0"/>
              <w:rPr>
                <w:sz w:val="24"/>
                <w:szCs w:val="24"/>
                <w:color w:val="auto"/>
              </w:rPr>
            </w:pPr>
          </w:p>
        </w:tc>
        <w:tc>
          <w:tcPr>
            <w:tcW w:w="13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540" w:right="420" w:hanging="424"/>
        <w:spacing w:after="0" w:line="261"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base salary amounts have been updated from amounts previously reported in prior proxy statements, which reflected base salary in effect as of year-end, to reflect actual base salary paid.</w:t>
      </w:r>
    </w:p>
    <w:p>
      <w:pPr>
        <w:ind w:left="540" w:right="2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 of the RSU awards shown in the “Stock Awards” column represents the grant date fair value calculated on the basis of the fair market value of the underlying shares of common stock on the grant date in accordance with FASB ASC Topic 718. The dollar value of the stock option awards shown in the “Option Awards” column represents the grant date fair value calculated in accordance with FASB ASC Topic 718. The assumptions used in calculating the grant-date fair value of the stock options reported in the “Option Awards” column are set forth in the notes to our consolidated financial statements included in our Annual Report on Form 10-K filed on February 10, 2026. The actual value that the Named Executive Officer will realize on each RSU or option award will depend on the price per share of our common stock at the time shares underlying the RSUs vest or options are exercised. Accordingly, these amounts do not necessarily correspond to the actual value realized or that may be realized by our Named Executive Officers.</w:t>
      </w:r>
    </w:p>
    <w:p>
      <w:pPr>
        <w:spacing w:after="0" w:line="3"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2025 represent the amounts earned by the Named Executive Officers in calendar year 2025 under Upstart’s 2025 Bonus Plan, as described in more detail in the section titled “</w:t>
      </w:r>
      <w:r>
        <w:rPr>
          <w:rFonts w:ascii="Times New Roman" w:cs="Times New Roman" w:eastAsia="Times New Roman" w:hAnsi="Times New Roman"/>
          <w:sz w:val="18"/>
          <w:szCs w:val="18"/>
          <w:i w:val="1"/>
          <w:iCs w:val="1"/>
          <w:color w:val="auto"/>
        </w:rPr>
        <w:t>Compensation Discussion and Analysis—Target Annual Cash Bonus Opportunities</w:t>
      </w:r>
      <w:r>
        <w:rPr>
          <w:rFonts w:ascii="Times New Roman" w:cs="Times New Roman" w:eastAsia="Times New Roman" w:hAnsi="Times New Roman"/>
          <w:sz w:val="18"/>
          <w:szCs w:val="18"/>
          <w:color w:val="auto"/>
        </w:rPr>
        <w:t>.” The amounts reported for 2024 and 2023 represent the amounts earned by the Named Executive Officers in calendar years 2024 and 2023 under Upstart’s 2024 Bonus Plan and Upstart’s 2023 Bonus Plan, respectively.</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employer matching contributions under our Section 401(k) plan.</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Girouard and Mr. Gu serve on our Board but are not paid additional compensation for their service on our Board.</w:t>
      </w:r>
    </w:p>
    <w:p>
      <w:pPr>
        <w:spacing w:after="0" w:line="9" w:lineRule="exact"/>
        <w:rPr>
          <w:rFonts w:ascii="Times New Roman" w:cs="Times New Roman" w:eastAsia="Times New Roman" w:hAnsi="Times New Roman"/>
          <w:sz w:val="18"/>
          <w:szCs w:val="18"/>
          <w:color w:val="auto"/>
        </w:rPr>
      </w:pPr>
    </w:p>
    <w:p>
      <w:pPr>
        <w:ind w:left="540" w:right="160" w:hanging="424"/>
        <w:spacing w:after="0" w:line="253"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reflects the prorated signing bonus that Mr. Darling earned in 2023. Mr. Darling received a signing bonus in the amount of $100,000 when he joined Upstart in 2022. If Mr. Darling’s employment with the Company was terminated voluntarily during a 12-month period from the start date of his employment, Mr. Darling would have been required to repay a prorated portion of the signing bonus to the Company. The 12-month period expired in 2023.</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Grants of Plan-Based Awards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incentive awards granted to the Named Executive Officers for 2025.</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Estimated Future Payouts Under</w:t>
            </w:r>
          </w:p>
        </w:tc>
        <w:tc>
          <w:tcPr>
            <w:tcW w:w="2160" w:type="dxa"/>
            <w:vAlign w:val="bottom"/>
            <w:gridSpan w:val="4"/>
            <w:vMerge w:val="restart"/>
          </w:tcPr>
          <w:p>
            <w:pPr>
              <w:jc w:val="center"/>
              <w:ind w:right="10"/>
              <w:spacing w:after="0"/>
              <w:rPr>
                <w:sz w:val="20"/>
                <w:szCs w:val="20"/>
                <w:color w:val="auto"/>
              </w:rPr>
            </w:pPr>
            <w:r>
              <w:rPr>
                <w:rFonts w:ascii="Times New Roman" w:cs="Times New Roman" w:eastAsia="Times New Roman" w:hAnsi="Times New Roman"/>
                <w:sz w:val="12"/>
                <w:szCs w:val="12"/>
                <w:b w:val="1"/>
                <w:bCs w:val="1"/>
                <w:color w:val="auto"/>
                <w:w w:val="96"/>
              </w:rPr>
              <w:t>Estimated Future Payouts Under</w:t>
            </w:r>
          </w:p>
        </w:tc>
        <w:tc>
          <w:tcPr>
            <w:tcW w:w="1180" w:type="dxa"/>
            <w:vAlign w:val="bottom"/>
          </w:tcPr>
          <w:p>
            <w:pPr>
              <w:spacing w:after="0"/>
              <w:rPr>
                <w:sz w:val="11"/>
                <w:szCs w:val="11"/>
                <w:color w:val="auto"/>
              </w:rPr>
            </w:pPr>
          </w:p>
        </w:tc>
        <w:tc>
          <w:tcPr>
            <w:tcW w:w="10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2160" w:type="dxa"/>
            <w:vAlign w:val="bottom"/>
            <w:gridSpan w:val="4"/>
            <w:vMerge w:val="continue"/>
          </w:tcPr>
          <w:p>
            <w:pPr>
              <w:spacing w:after="0"/>
              <w:rPr>
                <w:sz w:val="8"/>
                <w:szCs w:val="8"/>
                <w:color w:val="auto"/>
              </w:rPr>
            </w:pPr>
          </w:p>
        </w:tc>
        <w:tc>
          <w:tcPr>
            <w:tcW w:w="11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All Other</w:t>
            </w:r>
          </w:p>
        </w:tc>
        <w:tc>
          <w:tcPr>
            <w:tcW w:w="1080" w:type="dxa"/>
            <w:vAlign w:val="bottom"/>
            <w:gridSpan w:val="2"/>
            <w:vMerge w:val="restart"/>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92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Exercise or</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980" w:type="dxa"/>
            <w:vAlign w:val="bottom"/>
            <w:gridSpan w:val="3"/>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Non-Equity Incentive Plan</w:t>
            </w:r>
          </w:p>
        </w:tc>
        <w:tc>
          <w:tcPr>
            <w:tcW w:w="2160" w:type="dxa"/>
            <w:vAlign w:val="bottom"/>
            <w:gridSpan w:val="4"/>
            <w:vMerge w:val="restart"/>
          </w:tcPr>
          <w:p>
            <w:pPr>
              <w:jc w:val="center"/>
              <w:ind w:right="10"/>
              <w:spacing w:after="0" w:line="135" w:lineRule="exact"/>
              <w:rPr>
                <w:sz w:val="20"/>
                <w:szCs w:val="20"/>
                <w:color w:val="auto"/>
              </w:rPr>
            </w:pPr>
            <w:r>
              <w:rPr>
                <w:rFonts w:ascii="Times New Roman" w:cs="Times New Roman" w:eastAsia="Times New Roman" w:hAnsi="Times New Roman"/>
                <w:sz w:val="12"/>
                <w:szCs w:val="12"/>
                <w:b w:val="1"/>
                <w:bCs w:val="1"/>
                <w:color w:val="auto"/>
                <w:w w:val="96"/>
              </w:rPr>
              <w:t>Equity Incentive Plan</w:t>
            </w:r>
          </w:p>
        </w:tc>
        <w:tc>
          <w:tcPr>
            <w:tcW w:w="118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2160" w:type="dxa"/>
            <w:vAlign w:val="bottom"/>
            <w:gridSpan w:val="4"/>
            <w:vMerge w:val="continue"/>
          </w:tcPr>
          <w:p>
            <w:pPr>
              <w:spacing w:after="0"/>
              <w:rPr>
                <w:sz w:val="8"/>
                <w:szCs w:val="8"/>
                <w:color w:val="auto"/>
              </w:rPr>
            </w:pPr>
          </w:p>
        </w:tc>
        <w:tc>
          <w:tcPr>
            <w:tcW w:w="11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Stock Awards:</w:t>
            </w:r>
          </w:p>
        </w:tc>
        <w:tc>
          <w:tcPr>
            <w:tcW w:w="1080" w:type="dxa"/>
            <w:vAlign w:val="bottom"/>
            <w:gridSpan w:val="2"/>
            <w:vMerge w:val="restart"/>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92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Exercise or</w:t>
            </w:r>
          </w:p>
        </w:tc>
        <w:tc>
          <w:tcPr>
            <w:tcW w:w="6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Grant Date</w:t>
            </w:r>
          </w:p>
        </w:tc>
        <w:tc>
          <w:tcPr>
            <w:tcW w:w="0" w:type="dxa"/>
            <w:vAlign w:val="bottom"/>
          </w:tcPr>
          <w:p>
            <w:pPr>
              <w:spacing w:after="0"/>
              <w:rPr>
                <w:sz w:val="1"/>
                <w:szCs w:val="1"/>
                <w:color w:val="auto"/>
              </w:rPr>
            </w:pPr>
          </w:p>
        </w:tc>
      </w:tr>
      <w:tr>
        <w:trPr>
          <w:trHeight w:val="40"/>
        </w:trPr>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vMerge w:val="restart"/>
          </w:tcPr>
          <w:p>
            <w:pPr>
              <w:jc w:val="center"/>
              <w:spacing w:after="0" w:line="125" w:lineRule="exact"/>
              <w:rPr>
                <w:sz w:val="20"/>
                <w:szCs w:val="20"/>
                <w:color w:val="auto"/>
              </w:rPr>
            </w:pPr>
            <w:r>
              <w:rPr>
                <w:rFonts w:ascii="Times New Roman" w:cs="Times New Roman" w:eastAsia="Times New Roman" w:hAnsi="Times New Roman"/>
                <w:sz w:val="10"/>
                <w:szCs w:val="10"/>
                <w:b w:val="1"/>
                <w:bCs w:val="1"/>
                <w:color w:val="auto"/>
              </w:rPr>
              <w:t>Awards</w:t>
            </w:r>
            <w:r>
              <w:rPr>
                <w:rFonts w:ascii="Times New Roman" w:cs="Times New Roman" w:eastAsia="Times New Roman" w:hAnsi="Times New Roman"/>
                <w:sz w:val="14"/>
                <w:szCs w:val="14"/>
                <w:b w:val="1"/>
                <w:bCs w:val="1"/>
                <w:color w:val="auto"/>
                <w:vertAlign w:val="superscript"/>
              </w:rPr>
              <w:t>(1)</w:t>
            </w: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gridSpan w:val="2"/>
            <w:vMerge w:val="restart"/>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7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vMerge w:val="continue"/>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80" w:type="dxa"/>
            <w:vAlign w:val="bottom"/>
          </w:tcPr>
          <w:p>
            <w:pPr>
              <w:jc w:val="center"/>
              <w:ind w:right="13"/>
              <w:spacing w:after="0" w:line="99"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08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9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1"/>
                <w:szCs w:val="11"/>
                <w:b w:val="1"/>
                <w:bCs w:val="1"/>
                <w:color w:val="auto"/>
              </w:rPr>
              <w:t>Base Price</w:t>
            </w:r>
          </w:p>
        </w:tc>
        <w:tc>
          <w:tcPr>
            <w:tcW w:w="66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45"/>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tcPr>
          <w:p>
            <w:pPr>
              <w:jc w:val="center"/>
              <w:ind w:right="13"/>
              <w:spacing w:after="0"/>
              <w:rPr>
                <w:sz w:val="20"/>
                <w:szCs w:val="20"/>
                <w:color w:val="auto"/>
              </w:rPr>
            </w:pPr>
            <w:r>
              <w:rPr>
                <w:rFonts w:ascii="Times New Roman" w:cs="Times New Roman" w:eastAsia="Times New Roman" w:hAnsi="Times New Roman"/>
                <w:sz w:val="12"/>
                <w:szCs w:val="12"/>
                <w:b w:val="1"/>
                <w:bCs w:val="1"/>
                <w:color w:val="auto"/>
                <w:w w:val="96"/>
              </w:rPr>
              <w:t>Shares of</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Underlying</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of Option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of Stock</w:t>
            </w:r>
          </w:p>
        </w:tc>
        <w:tc>
          <w:tcPr>
            <w:tcW w:w="0" w:type="dxa"/>
            <w:vAlign w:val="bottom"/>
          </w:tcPr>
          <w:p>
            <w:pPr>
              <w:spacing w:after="0"/>
              <w:rPr>
                <w:sz w:val="1"/>
                <w:szCs w:val="1"/>
                <w:color w:val="auto"/>
              </w:rPr>
            </w:pPr>
          </w:p>
        </w:tc>
      </w:tr>
      <w:tr>
        <w:trPr>
          <w:trHeight w:val="135"/>
        </w:trPr>
        <w:tc>
          <w:tcPr>
            <w:tcW w:w="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10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ind w:right="251"/>
              <w:spacing w:after="0" w:line="135" w:lineRule="exact"/>
              <w:rPr>
                <w:sz w:val="20"/>
                <w:szCs w:val="20"/>
                <w:color w:val="auto"/>
              </w:rPr>
            </w:pPr>
            <w:r>
              <w:rPr>
                <w:rFonts w:ascii="Times New Roman" w:cs="Times New Roman" w:eastAsia="Times New Roman" w:hAnsi="Times New Roman"/>
                <w:sz w:val="12"/>
                <w:szCs w:val="12"/>
                <w:b w:val="1"/>
                <w:bCs w:val="1"/>
                <w:color w:val="auto"/>
              </w:rPr>
              <w:t>Grant</w:t>
            </w:r>
          </w:p>
        </w:tc>
        <w:tc>
          <w:tcPr>
            <w:tcW w:w="7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Approval</w:t>
            </w:r>
          </w:p>
        </w:tc>
        <w:tc>
          <w:tcPr>
            <w:tcW w:w="620" w:type="dxa"/>
            <w:vAlign w:val="bottom"/>
          </w:tcPr>
          <w:p>
            <w:pPr>
              <w:jc w:val="right"/>
              <w:ind w:right="12"/>
              <w:spacing w:after="0" w:line="135" w:lineRule="exact"/>
              <w:rPr>
                <w:sz w:val="20"/>
                <w:szCs w:val="20"/>
                <w:color w:val="auto"/>
              </w:rPr>
            </w:pPr>
            <w:r>
              <w:rPr>
                <w:rFonts w:ascii="Times New Roman" w:cs="Times New Roman" w:eastAsia="Times New Roman" w:hAnsi="Times New Roman"/>
                <w:sz w:val="12"/>
                <w:szCs w:val="12"/>
                <w:b w:val="1"/>
                <w:bCs w:val="1"/>
                <w:color w:val="auto"/>
                <w:w w:val="98"/>
              </w:rPr>
              <w:t>Threshold</w:t>
            </w:r>
          </w:p>
        </w:tc>
        <w:tc>
          <w:tcPr>
            <w:tcW w:w="6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b w:val="1"/>
                <w:bCs w:val="1"/>
                <w:color w:val="auto"/>
              </w:rPr>
              <w:t>Target</w:t>
            </w:r>
          </w:p>
        </w:tc>
        <w:tc>
          <w:tcPr>
            <w:tcW w:w="740" w:type="dxa"/>
            <w:vAlign w:val="bottom"/>
          </w:tcPr>
          <w:p>
            <w:pPr>
              <w:jc w:val="right"/>
              <w:ind w:right="70"/>
              <w:spacing w:after="0" w:line="135" w:lineRule="exact"/>
              <w:rPr>
                <w:sz w:val="20"/>
                <w:szCs w:val="20"/>
                <w:color w:val="auto"/>
              </w:rPr>
            </w:pPr>
            <w:r>
              <w:rPr>
                <w:rFonts w:ascii="Times New Roman" w:cs="Times New Roman" w:eastAsia="Times New Roman" w:hAnsi="Times New Roman"/>
                <w:sz w:val="12"/>
                <w:szCs w:val="12"/>
                <w:b w:val="1"/>
                <w:bCs w:val="1"/>
                <w:color w:val="auto"/>
              </w:rPr>
              <w:t>Maximum</w:t>
            </w:r>
          </w:p>
        </w:tc>
        <w:tc>
          <w:tcPr>
            <w:tcW w:w="78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6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Target</w:t>
            </w:r>
          </w:p>
        </w:tc>
        <w:tc>
          <w:tcPr>
            <w:tcW w:w="78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Maximum</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Stock or Units</w:t>
            </w:r>
          </w:p>
        </w:tc>
        <w:tc>
          <w:tcPr>
            <w:tcW w:w="10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and Option</w:t>
            </w:r>
          </w:p>
        </w:tc>
        <w:tc>
          <w:tcPr>
            <w:tcW w:w="0" w:type="dxa"/>
            <w:vAlign w:val="bottom"/>
          </w:tcPr>
          <w:p>
            <w:pPr>
              <w:spacing w:after="0"/>
              <w:rPr>
                <w:sz w:val="1"/>
                <w:szCs w:val="1"/>
                <w:color w:val="auto"/>
              </w:rPr>
            </w:pPr>
          </w:p>
        </w:tc>
      </w:tr>
      <w:tr>
        <w:trPr>
          <w:trHeight w:val="137"/>
        </w:trPr>
        <w:tc>
          <w:tcPr>
            <w:tcW w:w="300" w:type="dxa"/>
            <w:vAlign w:val="bottom"/>
            <w:tcBorders>
              <w:bottom w:val="single" w:sz="8" w:color="auto"/>
            </w:tcBorders>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ind w:right="291"/>
              <w:spacing w:after="0" w:line="132" w:lineRule="exact"/>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ind w:left="220"/>
              <w:spacing w:after="0" w:line="132" w:lineRule="exact"/>
              <w:rPr>
                <w:sz w:val="20"/>
                <w:szCs w:val="20"/>
                <w:color w:val="auto"/>
              </w:rPr>
            </w:pPr>
            <w:r>
              <w:rPr>
                <w:rFonts w:ascii="Times New Roman" w:cs="Times New Roman" w:eastAsia="Times New Roman" w:hAnsi="Times New Roman"/>
                <w:sz w:val="12"/>
                <w:szCs w:val="12"/>
                <w:b w:val="1"/>
                <w:bCs w:val="1"/>
                <w:color w:val="auto"/>
              </w:rPr>
              <w:t>Date</w:t>
            </w:r>
          </w:p>
        </w:tc>
        <w:tc>
          <w:tcPr>
            <w:tcW w:w="620" w:type="dxa"/>
            <w:vAlign w:val="bottom"/>
          </w:tcPr>
          <w:p>
            <w:pPr>
              <w:jc w:val="right"/>
              <w:ind w:right="19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ind w:left="220"/>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ind w:right="270"/>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center"/>
              <w:ind w:right="12"/>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1"/>
                <w:szCs w:val="11"/>
                <w:color w:val="auto"/>
              </w:rPr>
            </w:pPr>
          </w:p>
        </w:tc>
        <w:tc>
          <w:tcPr>
            <w:tcW w:w="780" w:type="dxa"/>
            <w:vAlign w:val="bottom"/>
          </w:tcPr>
          <w:p>
            <w:pPr>
              <w:jc w:val="center"/>
              <w:ind w:right="10"/>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5"/>
              </w:rPr>
              <w:t>(#)</w:t>
            </w: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1"/>
                <w:szCs w:val="11"/>
                <w:color w:val="auto"/>
              </w:rPr>
            </w:pPr>
          </w:p>
        </w:tc>
        <w:tc>
          <w:tcPr>
            <w:tcW w:w="9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1"/>
                <w:szCs w:val="11"/>
                <w:b w:val="1"/>
                <w:bCs w:val="1"/>
                <w:color w:val="auto"/>
              </w:rPr>
              <w:t>($/sh)</w:t>
            </w:r>
            <w:r>
              <w:rPr>
                <w:rFonts w:ascii="Times New Roman" w:cs="Times New Roman" w:eastAsia="Times New Roman" w:hAnsi="Times New Roman"/>
                <w:sz w:val="15"/>
                <w:szCs w:val="15"/>
                <w:b w:val="1"/>
                <w:bCs w:val="1"/>
                <w:color w:val="auto"/>
                <w:vertAlign w:val="superscript"/>
              </w:rPr>
              <w:t>(2)</w:t>
            </w:r>
          </w:p>
        </w:tc>
        <w:tc>
          <w:tcPr>
            <w:tcW w:w="660" w:type="dxa"/>
            <w:vAlign w:val="bottom"/>
          </w:tcPr>
          <w:p>
            <w:pPr>
              <w:jc w:val="center"/>
              <w:spacing w:after="0" w:line="132" w:lineRule="exact"/>
              <w:rPr>
                <w:sz w:val="20"/>
                <w:szCs w:val="20"/>
                <w:color w:val="auto"/>
              </w:rPr>
            </w:pPr>
            <w:r>
              <w:rPr>
                <w:rFonts w:ascii="Times New Roman" w:cs="Times New Roman" w:eastAsia="Times New Roman" w:hAnsi="Times New Roman"/>
                <w:sz w:val="11"/>
                <w:szCs w:val="11"/>
                <w:b w:val="1"/>
                <w:bCs w:val="1"/>
                <w:color w:val="auto"/>
              </w:rPr>
              <w:t xml:space="preserve">Awards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5"/>
                <w:szCs w:val="15"/>
                <w:b w:val="1"/>
                <w:bCs w:val="1"/>
                <w:color w:val="auto"/>
                <w:vertAlign w:val="superscript"/>
              </w:rPr>
              <w:t>(3)</w:t>
            </w:r>
          </w:p>
        </w:tc>
        <w:tc>
          <w:tcPr>
            <w:tcW w:w="0" w:type="dxa"/>
            <w:vAlign w:val="bottom"/>
          </w:tcPr>
          <w:p>
            <w:pPr>
              <w:spacing w:after="0"/>
              <w:rPr>
                <w:sz w:val="1"/>
                <w:szCs w:val="1"/>
                <w:color w:val="auto"/>
              </w:rPr>
            </w:pPr>
          </w:p>
        </w:tc>
      </w:tr>
      <w:tr>
        <w:trPr>
          <w:trHeight w:val="20"/>
        </w:trPr>
        <w:tc>
          <w:tcPr>
            <w:tcW w:w="1380" w:type="dxa"/>
            <w:vAlign w:val="bottom"/>
            <w:gridSpan w:val="2"/>
            <w:shd w:val="clear" w:color="auto" w:fill="BAD8EB"/>
          </w:tcPr>
          <w:p>
            <w:pPr>
              <w:spacing w:after="0" w:line="20" w:lineRule="exact"/>
              <w:rPr>
                <w:sz w:val="1"/>
                <w:szCs w:val="1"/>
                <w:color w:val="auto"/>
              </w:rPr>
            </w:pPr>
          </w:p>
        </w:tc>
        <w:tc>
          <w:tcPr>
            <w:tcW w:w="80" w:type="dxa"/>
            <w:vAlign w:val="bottom"/>
            <w:shd w:val="clear" w:color="auto" w:fill="BAD8EB"/>
          </w:tcPr>
          <w:p>
            <w:pPr>
              <w:spacing w:after="0" w:line="20" w:lineRule="exact"/>
              <w:rPr>
                <w:sz w:val="1"/>
                <w:szCs w:val="1"/>
                <w:color w:val="auto"/>
              </w:rPr>
            </w:pPr>
          </w:p>
        </w:tc>
        <w:tc>
          <w:tcPr>
            <w:tcW w:w="860" w:type="dxa"/>
            <w:vAlign w:val="bottom"/>
            <w:tcBorders>
              <w:right w:val="single" w:sz="8" w:color="BAD8EB"/>
            </w:tcBorders>
            <w:shd w:val="clear" w:color="auto" w:fill="000000"/>
          </w:tcPr>
          <w:p>
            <w:pPr>
              <w:spacing w:after="0" w:line="20" w:lineRule="exact"/>
              <w:rPr>
                <w:sz w:val="1"/>
                <w:szCs w:val="1"/>
                <w:color w:val="auto"/>
              </w:rPr>
            </w:pPr>
          </w:p>
        </w:tc>
        <w:tc>
          <w:tcPr>
            <w:tcW w:w="720" w:type="dxa"/>
            <w:vAlign w:val="bottom"/>
            <w:tcBorders>
              <w:right w:val="single" w:sz="8" w:color="BAD8EB"/>
            </w:tcBorders>
            <w:shd w:val="clear" w:color="auto" w:fill="000000"/>
          </w:tcPr>
          <w:p>
            <w:pPr>
              <w:spacing w:after="0" w:line="20" w:lineRule="exact"/>
              <w:rPr>
                <w:sz w:val="1"/>
                <w:szCs w:val="1"/>
                <w:color w:val="auto"/>
              </w:rPr>
            </w:pPr>
          </w:p>
        </w:tc>
        <w:tc>
          <w:tcPr>
            <w:tcW w:w="620" w:type="dxa"/>
            <w:vAlign w:val="bottom"/>
            <w:tcBorders>
              <w:right w:val="single" w:sz="8" w:color="BAD8EB"/>
            </w:tcBorders>
            <w:shd w:val="clear" w:color="auto" w:fill="000000"/>
          </w:tcPr>
          <w:p>
            <w:pPr>
              <w:spacing w:after="0" w:line="20" w:lineRule="exact"/>
              <w:rPr>
                <w:sz w:val="1"/>
                <w:szCs w:val="1"/>
                <w:color w:val="auto"/>
              </w:rPr>
            </w:pPr>
          </w:p>
        </w:tc>
        <w:tc>
          <w:tcPr>
            <w:tcW w:w="620" w:type="dxa"/>
            <w:vAlign w:val="bottom"/>
            <w:tcBorders>
              <w:right w:val="single" w:sz="8" w:color="BAD8EB"/>
            </w:tcBorders>
            <w:shd w:val="clear" w:color="auto" w:fill="000000"/>
          </w:tcPr>
          <w:p>
            <w:pPr>
              <w:spacing w:after="0" w:line="20" w:lineRule="exact"/>
              <w:rPr>
                <w:sz w:val="1"/>
                <w:szCs w:val="1"/>
                <w:color w:val="auto"/>
              </w:rPr>
            </w:pPr>
          </w:p>
        </w:tc>
        <w:tc>
          <w:tcPr>
            <w:tcW w:w="740" w:type="dxa"/>
            <w:vAlign w:val="bottom"/>
            <w:tcBorders>
              <w:right w:val="single" w:sz="8" w:color="BAD8EB"/>
            </w:tcBorders>
            <w:shd w:val="clear" w:color="auto" w:fill="000000"/>
          </w:tcPr>
          <w:p>
            <w:pPr>
              <w:spacing w:after="0" w:line="20" w:lineRule="exact"/>
              <w:rPr>
                <w:sz w:val="1"/>
                <w:szCs w:val="1"/>
                <w:color w:val="auto"/>
              </w:rPr>
            </w:pPr>
          </w:p>
        </w:tc>
        <w:tc>
          <w:tcPr>
            <w:tcW w:w="780" w:type="dxa"/>
            <w:vAlign w:val="bottom"/>
            <w:tcBorders>
              <w:right w:val="single" w:sz="8" w:color="BAD8EB"/>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BAD8EB"/>
          </w:tcPr>
          <w:p>
            <w:pPr>
              <w:spacing w:after="0" w:line="20" w:lineRule="exact"/>
              <w:rPr>
                <w:sz w:val="1"/>
                <w:szCs w:val="1"/>
                <w:color w:val="auto"/>
              </w:rPr>
            </w:pPr>
          </w:p>
        </w:tc>
        <w:tc>
          <w:tcPr>
            <w:tcW w:w="780" w:type="dxa"/>
            <w:vAlign w:val="bottom"/>
            <w:tcBorders>
              <w:right w:val="single" w:sz="8" w:color="BAD8EB"/>
            </w:tcBorders>
            <w:shd w:val="clear" w:color="auto" w:fill="000000"/>
          </w:tcPr>
          <w:p>
            <w:pPr>
              <w:spacing w:after="0" w:line="20" w:lineRule="exact"/>
              <w:rPr>
                <w:sz w:val="1"/>
                <w:szCs w:val="1"/>
                <w:color w:val="auto"/>
              </w:rPr>
            </w:pPr>
          </w:p>
        </w:tc>
        <w:tc>
          <w:tcPr>
            <w:tcW w:w="1180" w:type="dxa"/>
            <w:vAlign w:val="bottom"/>
            <w:tcBorders>
              <w:right w:val="single" w:sz="8" w:color="BAD8EB"/>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BAD8EB"/>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BAD8EB"/>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380" w:type="dxa"/>
            <w:vAlign w:val="bottom"/>
            <w:gridSpan w:val="2"/>
            <w:shd w:val="clear" w:color="auto" w:fill="BAD8EB"/>
          </w:tcPr>
          <w:p>
            <w:pPr>
              <w:spacing w:after="0" w:line="153" w:lineRule="exact"/>
              <w:rPr>
                <w:sz w:val="20"/>
                <w:szCs w:val="20"/>
                <w:color w:val="auto"/>
              </w:rPr>
            </w:pPr>
            <w:r>
              <w:rPr>
                <w:rFonts w:ascii="Times New Roman" w:cs="Times New Roman" w:eastAsia="Times New Roman" w:hAnsi="Times New Roman"/>
                <w:sz w:val="14"/>
                <w:szCs w:val="14"/>
                <w:color w:val="auto"/>
              </w:rPr>
              <w:t>Dave Girouard</w:t>
            </w:r>
          </w:p>
        </w:tc>
        <w:tc>
          <w:tcPr>
            <w:tcW w:w="80" w:type="dxa"/>
            <w:vAlign w:val="bottom"/>
            <w:shd w:val="clear" w:color="auto" w:fill="BAD8EB"/>
          </w:tcPr>
          <w:p>
            <w:pPr>
              <w:spacing w:after="0"/>
              <w:rPr>
                <w:sz w:val="13"/>
                <w:szCs w:val="13"/>
                <w:color w:val="auto"/>
              </w:rPr>
            </w:pPr>
          </w:p>
        </w:tc>
        <w:tc>
          <w:tcPr>
            <w:tcW w:w="860" w:type="dxa"/>
            <w:vAlign w:val="bottom"/>
            <w:tcBorders>
              <w:right w:val="single" w:sz="8" w:color="BAD8EB"/>
            </w:tcBorders>
            <w:shd w:val="clear" w:color="auto" w:fill="BAD8EB"/>
          </w:tcPr>
          <w:p>
            <w:pPr>
              <w:jc w:val="right"/>
              <w:ind w:right="31"/>
              <w:spacing w:after="0" w:line="153"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BAD8EB"/>
            </w:tcBorders>
            <w:shd w:val="clear" w:color="auto" w:fill="BAD8EB"/>
          </w:tcPr>
          <w:p>
            <w:pPr>
              <w:ind w:left="80"/>
              <w:spacing w:after="0" w:line="153" w:lineRule="exact"/>
              <w:rPr>
                <w:sz w:val="20"/>
                <w:szCs w:val="20"/>
                <w:color w:val="auto"/>
              </w:rPr>
            </w:pPr>
            <w:r>
              <w:rPr>
                <w:rFonts w:ascii="Times New Roman" w:cs="Times New Roman" w:eastAsia="Times New Roman" w:hAnsi="Times New Roman"/>
                <w:sz w:val="14"/>
                <w:szCs w:val="14"/>
                <w:color w:val="auto"/>
              </w:rPr>
              <w:t>3/11/2025</w:t>
            </w:r>
          </w:p>
        </w:tc>
        <w:tc>
          <w:tcPr>
            <w:tcW w:w="620" w:type="dxa"/>
            <w:vAlign w:val="bottom"/>
            <w:tcBorders>
              <w:right w:val="single" w:sz="8" w:color="BAD8EB"/>
            </w:tcBorders>
            <w:shd w:val="clear" w:color="auto" w:fill="BAD8EB"/>
          </w:tcPr>
          <w:p>
            <w:pPr>
              <w:jc w:val="right"/>
              <w:spacing w:after="0" w:line="153" w:lineRule="exact"/>
              <w:rPr>
                <w:sz w:val="20"/>
                <w:szCs w:val="20"/>
                <w:color w:val="auto"/>
              </w:rPr>
            </w:pPr>
            <w:r>
              <w:rPr>
                <w:rFonts w:ascii="Times New Roman" w:cs="Times New Roman" w:eastAsia="Times New Roman" w:hAnsi="Times New Roman"/>
                <w:sz w:val="14"/>
                <w:szCs w:val="14"/>
                <w:color w:val="auto"/>
              </w:rPr>
              <w:t>135,000</w:t>
            </w:r>
          </w:p>
        </w:tc>
        <w:tc>
          <w:tcPr>
            <w:tcW w:w="620" w:type="dxa"/>
            <w:vAlign w:val="bottom"/>
            <w:tcBorders>
              <w:right w:val="single" w:sz="8" w:color="BAD8EB"/>
            </w:tcBorders>
            <w:shd w:val="clear" w:color="auto" w:fill="BAD8EB"/>
          </w:tcPr>
          <w:p>
            <w:pPr>
              <w:jc w:val="center"/>
              <w:spacing w:after="0" w:line="153" w:lineRule="exact"/>
              <w:rPr>
                <w:sz w:val="20"/>
                <w:szCs w:val="20"/>
                <w:color w:val="auto"/>
              </w:rPr>
            </w:pPr>
            <w:r>
              <w:rPr>
                <w:rFonts w:ascii="Times New Roman" w:cs="Times New Roman" w:eastAsia="Times New Roman" w:hAnsi="Times New Roman"/>
                <w:sz w:val="14"/>
                <w:szCs w:val="14"/>
                <w:color w:val="auto"/>
              </w:rPr>
              <w:t>540,000</w:t>
            </w:r>
          </w:p>
        </w:tc>
        <w:tc>
          <w:tcPr>
            <w:tcW w:w="740" w:type="dxa"/>
            <w:vAlign w:val="bottom"/>
            <w:tcBorders>
              <w:right w:val="single" w:sz="8" w:color="BAD8EB"/>
            </w:tcBorders>
            <w:shd w:val="clear" w:color="auto" w:fill="BAD8EB"/>
          </w:tcPr>
          <w:p>
            <w:pPr>
              <w:jc w:val="right"/>
              <w:spacing w:after="0" w:line="153" w:lineRule="exact"/>
              <w:rPr>
                <w:sz w:val="20"/>
                <w:szCs w:val="20"/>
                <w:color w:val="auto"/>
              </w:rPr>
            </w:pPr>
            <w:r>
              <w:rPr>
                <w:rFonts w:ascii="Times New Roman" w:cs="Times New Roman" w:eastAsia="Times New Roman" w:hAnsi="Times New Roman"/>
                <w:sz w:val="14"/>
                <w:szCs w:val="14"/>
                <w:color w:val="auto"/>
              </w:rPr>
              <w:t>1,080,000</w:t>
            </w:r>
          </w:p>
        </w:tc>
        <w:tc>
          <w:tcPr>
            <w:tcW w:w="780" w:type="dxa"/>
            <w:vAlign w:val="bottom"/>
            <w:tcBorders>
              <w:right w:val="single" w:sz="8" w:color="BAD8EB"/>
            </w:tcBorders>
            <w:shd w:val="clear" w:color="auto" w:fill="BAD8EB"/>
          </w:tcPr>
          <w:p>
            <w:pPr>
              <w:jc w:val="center"/>
              <w:ind w:right="12"/>
              <w:spacing w:after="0" w:line="153" w:lineRule="exact"/>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gridSpan w:val="2"/>
            <w:shd w:val="clear" w:color="auto" w:fill="BAD8EB"/>
          </w:tcPr>
          <w:p>
            <w:pPr>
              <w:jc w:val="center"/>
              <w:ind w:right="60"/>
              <w:spacing w:after="0" w:line="153" w:lineRule="exact"/>
              <w:rPr>
                <w:sz w:val="20"/>
                <w:szCs w:val="20"/>
                <w:color w:val="auto"/>
              </w:rPr>
            </w:pPr>
            <w:r>
              <w:rPr>
                <w:rFonts w:ascii="Times New Roman" w:cs="Times New Roman" w:eastAsia="Times New Roman" w:hAnsi="Times New Roman"/>
                <w:sz w:val="14"/>
                <w:szCs w:val="14"/>
                <w:color w:val="auto"/>
                <w:w w:val="85"/>
              </w:rPr>
              <w:t>— </w:t>
            </w:r>
          </w:p>
        </w:tc>
        <w:tc>
          <w:tcPr>
            <w:tcW w:w="780" w:type="dxa"/>
            <w:vAlign w:val="bottom"/>
            <w:tcBorders>
              <w:right w:val="single" w:sz="8" w:color="BAD8EB"/>
            </w:tcBorders>
            <w:shd w:val="clear" w:color="auto" w:fill="BAD8EB"/>
          </w:tcPr>
          <w:p>
            <w:pPr>
              <w:jc w:val="center"/>
              <w:ind w:right="10"/>
              <w:spacing w:after="0" w:line="153" w:lineRule="exact"/>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tcBorders>
              <w:right w:val="single" w:sz="8" w:color="BAD8EB"/>
            </w:tcBorders>
            <w:shd w:val="clear" w:color="auto" w:fill="BAD8EB"/>
          </w:tcPr>
          <w:p>
            <w:pPr>
              <w:ind w:left="560"/>
              <w:spacing w:after="0" w:line="153"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BAD8EB"/>
          </w:tcPr>
          <w:p>
            <w:pPr>
              <w:ind w:left="540"/>
              <w:spacing w:after="0" w:line="153"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BAD8EB"/>
          </w:tcPr>
          <w:p>
            <w:pPr>
              <w:ind w:left="380"/>
              <w:spacing w:after="0" w:line="153"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BAD8EB"/>
          </w:tcPr>
          <w:p>
            <w:pPr>
              <w:jc w:val="right"/>
              <w:spacing w:after="0" w:line="153"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8"/>
        </w:trPr>
        <w:tc>
          <w:tcPr>
            <w:tcW w:w="300" w:type="dxa"/>
            <w:vAlign w:val="bottom"/>
            <w:shd w:val="clear" w:color="auto" w:fill="BAD8EB"/>
          </w:tcPr>
          <w:p>
            <w:pPr>
              <w:spacing w:after="0"/>
              <w:rPr>
                <w:sz w:val="17"/>
                <w:szCs w:val="17"/>
                <w:color w:val="auto"/>
              </w:rPr>
            </w:pPr>
          </w:p>
        </w:tc>
        <w:tc>
          <w:tcPr>
            <w:tcW w:w="1080" w:type="dxa"/>
            <w:vAlign w:val="bottom"/>
            <w:shd w:val="clear" w:color="auto" w:fill="BAD8EB"/>
          </w:tcPr>
          <w:p>
            <w:pPr>
              <w:spacing w:after="0"/>
              <w:rPr>
                <w:sz w:val="17"/>
                <w:szCs w:val="17"/>
                <w:color w:val="auto"/>
              </w:rPr>
            </w:pPr>
          </w:p>
        </w:tc>
        <w:tc>
          <w:tcPr>
            <w:tcW w:w="80" w:type="dxa"/>
            <w:vAlign w:val="bottom"/>
            <w:shd w:val="clear" w:color="auto" w:fill="BAD8EB"/>
          </w:tcPr>
          <w:p>
            <w:pPr>
              <w:spacing w:after="0"/>
              <w:rPr>
                <w:sz w:val="17"/>
                <w:szCs w:val="17"/>
                <w:color w:val="auto"/>
              </w:rPr>
            </w:pPr>
          </w:p>
        </w:tc>
        <w:tc>
          <w:tcPr>
            <w:tcW w:w="860" w:type="dxa"/>
            <w:vAlign w:val="bottom"/>
            <w:tcBorders>
              <w:right w:val="single" w:sz="8" w:color="BAD8EB"/>
            </w:tcBorders>
            <w:shd w:val="clear" w:color="auto" w:fill="BAD8EB"/>
          </w:tcPr>
          <w:p>
            <w:pPr>
              <w:jc w:val="right"/>
              <w:ind w:right="11"/>
              <w:spacing w:after="0"/>
              <w:rPr>
                <w:sz w:val="20"/>
                <w:szCs w:val="20"/>
                <w:color w:val="auto"/>
              </w:rPr>
            </w:pPr>
            <w:r>
              <w:rPr>
                <w:rFonts w:ascii="Times New Roman" w:cs="Times New Roman" w:eastAsia="Times New Roman" w:hAnsi="Times New Roman"/>
                <w:sz w:val="14"/>
                <w:szCs w:val="14"/>
                <w:color w:val="auto"/>
              </w:rPr>
              <w:t>2/28/2025</w:t>
            </w:r>
            <w:r>
              <w:rPr>
                <w:rFonts w:ascii="Times New Roman" w:cs="Times New Roman" w:eastAsia="Times New Roman" w:hAnsi="Times New Roman"/>
                <w:sz w:val="10"/>
                <w:szCs w:val="10"/>
                <w:color w:val="auto"/>
              </w:rPr>
              <w:t>(4)</w:t>
            </w:r>
          </w:p>
        </w:tc>
        <w:tc>
          <w:tcPr>
            <w:tcW w:w="720" w:type="dxa"/>
            <w:vAlign w:val="bottom"/>
            <w:tcBorders>
              <w:right w:val="single" w:sz="8" w:color="BAD8EB"/>
            </w:tcBorders>
            <w:shd w:val="clear" w:color="auto" w:fill="BAD8EB"/>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right w:val="single" w:sz="8" w:color="BAD8EB"/>
            </w:tcBorders>
            <w:shd w:val="clear" w:color="auto" w:fill="BAD8EB"/>
          </w:tcPr>
          <w:p>
            <w:pPr>
              <w:jc w:val="right"/>
              <w:ind w:right="32"/>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right w:val="single" w:sz="8" w:color="BAD8EB"/>
            </w:tcBorders>
            <w:shd w:val="clear" w:color="auto" w:fill="BAD8EB"/>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BAD8EB"/>
            </w:tcBorders>
            <w:shd w:val="clear" w:color="auto" w:fill="BAD8EB"/>
          </w:tcPr>
          <w:p>
            <w:pPr>
              <w:jc w:val="right"/>
              <w:ind w:right="3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BAD8EB"/>
            </w:tcBorders>
            <w:shd w:val="clear" w:color="auto" w:fill="BAD8EB"/>
          </w:tcPr>
          <w:p>
            <w:pPr>
              <w:jc w:val="center"/>
              <w:ind w:right="12"/>
              <w:spacing w:after="0"/>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gridSpan w:val="2"/>
            <w:shd w:val="clear" w:color="auto" w:fill="BAD8EB"/>
          </w:tcPr>
          <w:p>
            <w:pPr>
              <w:jc w:val="center"/>
              <w:ind w:right="60"/>
              <w:spacing w:after="0"/>
              <w:rPr>
                <w:sz w:val="20"/>
                <w:szCs w:val="20"/>
                <w:color w:val="auto"/>
              </w:rPr>
            </w:pPr>
            <w:r>
              <w:rPr>
                <w:rFonts w:ascii="Times New Roman" w:cs="Times New Roman" w:eastAsia="Times New Roman" w:hAnsi="Times New Roman"/>
                <w:sz w:val="14"/>
                <w:szCs w:val="14"/>
                <w:color w:val="auto"/>
                <w:w w:val="85"/>
              </w:rPr>
              <w:t>— </w:t>
            </w:r>
          </w:p>
        </w:tc>
        <w:tc>
          <w:tcPr>
            <w:tcW w:w="780" w:type="dxa"/>
            <w:vAlign w:val="bottom"/>
            <w:tcBorders>
              <w:right w:val="single" w:sz="8" w:color="BAD8EB"/>
            </w:tcBorders>
            <w:shd w:val="clear" w:color="auto" w:fill="BAD8EB"/>
          </w:tcPr>
          <w:p>
            <w:pPr>
              <w:jc w:val="center"/>
              <w:ind w:right="10"/>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tcBorders>
              <w:right w:val="single" w:sz="8" w:color="BAD8EB"/>
            </w:tcBorders>
            <w:shd w:val="clear" w:color="auto" w:fill="BAD8EB"/>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shd w:val="clear" w:color="auto" w:fill="BAD8EB"/>
          </w:tcPr>
          <w:p>
            <w:pPr>
              <w:jc w:val="right"/>
              <w:ind w:right="174"/>
              <w:spacing w:after="0"/>
              <w:rPr>
                <w:sz w:val="20"/>
                <w:szCs w:val="20"/>
                <w:color w:val="auto"/>
              </w:rPr>
            </w:pPr>
            <w:r>
              <w:rPr>
                <w:rFonts w:ascii="Times New Roman" w:cs="Times New Roman" w:eastAsia="Times New Roman" w:hAnsi="Times New Roman"/>
                <w:sz w:val="14"/>
                <w:szCs w:val="14"/>
                <w:color w:val="auto"/>
              </w:rPr>
              <w:t>239,628</w:t>
            </w:r>
          </w:p>
        </w:tc>
        <w:tc>
          <w:tcPr>
            <w:tcW w:w="80" w:type="dxa"/>
            <w:vAlign w:val="bottom"/>
            <w:shd w:val="clear" w:color="auto" w:fill="BAD8EB"/>
          </w:tcPr>
          <w:p>
            <w:pPr>
              <w:spacing w:after="0"/>
              <w:rPr>
                <w:sz w:val="17"/>
                <w:szCs w:val="17"/>
                <w:color w:val="auto"/>
              </w:rPr>
            </w:pPr>
          </w:p>
        </w:tc>
        <w:tc>
          <w:tcPr>
            <w:tcW w:w="8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4"/>
                <w:szCs w:val="14"/>
                <w:color w:val="auto"/>
              </w:rPr>
              <w:t>66.67</w:t>
            </w:r>
          </w:p>
        </w:tc>
        <w:tc>
          <w:tcPr>
            <w:tcW w:w="80" w:type="dxa"/>
            <w:vAlign w:val="bottom"/>
            <w:shd w:val="clear" w:color="auto" w:fill="BAD8EB"/>
          </w:tcPr>
          <w:p>
            <w:pPr>
              <w:spacing w:after="0"/>
              <w:rPr>
                <w:sz w:val="17"/>
                <w:szCs w:val="17"/>
                <w:color w:val="auto"/>
              </w:rPr>
            </w:pPr>
          </w:p>
        </w:tc>
        <w:tc>
          <w:tcPr>
            <w:tcW w:w="66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4"/>
                <w:szCs w:val="14"/>
                <w:color w:val="auto"/>
              </w:rPr>
              <w:t>8,597,565</w:t>
            </w:r>
          </w:p>
        </w:tc>
        <w:tc>
          <w:tcPr>
            <w:tcW w:w="0" w:type="dxa"/>
            <w:vAlign w:val="bottom"/>
          </w:tcPr>
          <w:p>
            <w:pPr>
              <w:spacing w:after="0"/>
              <w:rPr>
                <w:sz w:val="1"/>
                <w:szCs w:val="1"/>
                <w:color w:val="auto"/>
              </w:rPr>
            </w:pPr>
          </w:p>
        </w:tc>
      </w:tr>
      <w:tr>
        <w:trPr>
          <w:trHeight w:val="180"/>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Sanjay Datta</w:t>
            </w:r>
          </w:p>
        </w:tc>
        <w:tc>
          <w:tcPr>
            <w:tcW w:w="80" w:type="dxa"/>
            <w:vAlign w:val="bottom"/>
          </w:tcPr>
          <w:p>
            <w:pPr>
              <w:spacing w:after="0"/>
              <w:rPr>
                <w:sz w:val="15"/>
                <w:szCs w:val="15"/>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3/11/2025</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90,938</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363,750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727,500</w:t>
            </w:r>
          </w:p>
        </w:tc>
        <w:tc>
          <w:tcPr>
            <w:tcW w:w="78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85"/>
              </w:rPr>
              <w:t>— </w:t>
            </w: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2/28/2025</w:t>
            </w:r>
            <w:r>
              <w:rPr>
                <w:rFonts w:ascii="Times New Roman" w:cs="Times New Roman" w:eastAsia="Times New Roman" w:hAnsi="Times New Roman"/>
                <w:sz w:val="10"/>
                <w:szCs w:val="10"/>
                <w:color w:val="auto"/>
              </w:rPr>
              <w:t>(5)</w:t>
            </w:r>
          </w:p>
        </w:tc>
        <w:tc>
          <w:tcPr>
            <w:tcW w:w="72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780" w:type="dxa"/>
            <w:vAlign w:val="bottom"/>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29,331</w:t>
            </w:r>
          </w:p>
        </w:tc>
        <w:tc>
          <w:tcPr>
            <w:tcW w:w="10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1,955,498</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2/28/2025</w:t>
            </w:r>
            <w:r>
              <w:rPr>
                <w:rFonts w:ascii="Times New Roman" w:cs="Times New Roman" w:eastAsia="Times New Roman" w:hAnsi="Times New Roman"/>
                <w:sz w:val="10"/>
                <w:szCs w:val="10"/>
                <w:color w:val="auto"/>
              </w:rPr>
              <w:t>(4)</w:t>
            </w:r>
          </w:p>
        </w:tc>
        <w:tc>
          <w:tcPr>
            <w:tcW w:w="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85"/>
              </w:rPr>
              <w:t>— </w:t>
            </w: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55,728</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66.67</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1,999,396</w:t>
            </w:r>
          </w:p>
        </w:tc>
        <w:tc>
          <w:tcPr>
            <w:tcW w:w="0" w:type="dxa"/>
            <w:vAlign w:val="bottom"/>
          </w:tcPr>
          <w:p>
            <w:pPr>
              <w:spacing w:after="0"/>
              <w:rPr>
                <w:sz w:val="1"/>
                <w:szCs w:val="1"/>
                <w:color w:val="auto"/>
              </w:rPr>
            </w:pPr>
          </w:p>
        </w:tc>
      </w:tr>
      <w:tr>
        <w:trPr>
          <w:trHeight w:val="185"/>
        </w:trPr>
        <w:tc>
          <w:tcPr>
            <w:tcW w:w="138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4"/>
                <w:szCs w:val="14"/>
                <w:color w:val="auto"/>
              </w:rPr>
              <w:t>Paul Gu</w:t>
            </w:r>
          </w:p>
        </w:tc>
        <w:tc>
          <w:tcPr>
            <w:tcW w:w="80" w:type="dxa"/>
            <w:vAlign w:val="bottom"/>
            <w:shd w:val="clear" w:color="auto" w:fill="BAD8EB"/>
          </w:tcPr>
          <w:p>
            <w:pPr>
              <w:spacing w:after="0"/>
              <w:rPr>
                <w:sz w:val="16"/>
                <w:szCs w:val="16"/>
                <w:color w:val="auto"/>
              </w:rPr>
            </w:pPr>
          </w:p>
        </w:tc>
        <w:tc>
          <w:tcPr>
            <w:tcW w:w="860" w:type="dxa"/>
            <w:vAlign w:val="bottom"/>
            <w:tcBorders>
              <w:right w:val="single" w:sz="8" w:color="BAD8EB"/>
            </w:tcBorders>
            <w:shd w:val="clear" w:color="auto" w:fill="BAD8EB"/>
          </w:tcPr>
          <w:p>
            <w:pPr>
              <w:jc w:val="right"/>
              <w:ind w:right="31"/>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BAD8EB"/>
            </w:tcBorders>
            <w:shd w:val="clear" w:color="auto" w:fill="BAD8EB"/>
          </w:tcPr>
          <w:p>
            <w:pPr>
              <w:ind w:left="80"/>
              <w:spacing w:after="0"/>
              <w:rPr>
                <w:sz w:val="20"/>
                <w:szCs w:val="20"/>
                <w:color w:val="auto"/>
              </w:rPr>
            </w:pPr>
            <w:r>
              <w:rPr>
                <w:rFonts w:ascii="Times New Roman" w:cs="Times New Roman" w:eastAsia="Times New Roman" w:hAnsi="Times New Roman"/>
                <w:sz w:val="14"/>
                <w:szCs w:val="14"/>
                <w:color w:val="auto"/>
              </w:rPr>
              <w:t>3/11/2025</w:t>
            </w:r>
          </w:p>
        </w:tc>
        <w:tc>
          <w:tcPr>
            <w:tcW w:w="620" w:type="dxa"/>
            <w:vAlign w:val="bottom"/>
            <w:tcBorders>
              <w:right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4"/>
                <w:szCs w:val="14"/>
                <w:color w:val="auto"/>
              </w:rPr>
              <w:t>90,938</w:t>
            </w:r>
          </w:p>
        </w:tc>
        <w:tc>
          <w:tcPr>
            <w:tcW w:w="620" w:type="dxa"/>
            <w:vAlign w:val="bottom"/>
            <w:tcBorders>
              <w:right w:val="single" w:sz="8" w:color="BAD8EB"/>
            </w:tcBorders>
            <w:shd w:val="clear" w:color="auto" w:fill="BAD8EB"/>
          </w:tcPr>
          <w:p>
            <w:pPr>
              <w:jc w:val="center"/>
              <w:spacing w:after="0"/>
              <w:rPr>
                <w:sz w:val="20"/>
                <w:szCs w:val="20"/>
                <w:color w:val="auto"/>
              </w:rPr>
            </w:pPr>
            <w:r>
              <w:rPr>
                <w:rFonts w:ascii="Times New Roman" w:cs="Times New Roman" w:eastAsia="Times New Roman" w:hAnsi="Times New Roman"/>
                <w:sz w:val="14"/>
                <w:szCs w:val="14"/>
                <w:color w:val="auto"/>
              </w:rPr>
              <w:t>363,750</w:t>
            </w:r>
          </w:p>
        </w:tc>
        <w:tc>
          <w:tcPr>
            <w:tcW w:w="740" w:type="dxa"/>
            <w:vAlign w:val="bottom"/>
            <w:tcBorders>
              <w:right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4"/>
                <w:szCs w:val="14"/>
                <w:color w:val="auto"/>
              </w:rPr>
              <w:t>727,500</w:t>
            </w:r>
          </w:p>
        </w:tc>
        <w:tc>
          <w:tcPr>
            <w:tcW w:w="780" w:type="dxa"/>
            <w:vAlign w:val="bottom"/>
            <w:tcBorders>
              <w:right w:val="single" w:sz="8" w:color="BAD8EB"/>
            </w:tcBorders>
            <w:shd w:val="clear" w:color="auto" w:fill="BAD8EB"/>
          </w:tcPr>
          <w:p>
            <w:pPr>
              <w:jc w:val="center"/>
              <w:ind w:right="12"/>
              <w:spacing w:after="0"/>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gridSpan w:val="2"/>
            <w:shd w:val="clear" w:color="auto" w:fill="BAD8EB"/>
          </w:tcPr>
          <w:p>
            <w:pPr>
              <w:jc w:val="center"/>
              <w:ind w:right="60"/>
              <w:spacing w:after="0"/>
              <w:rPr>
                <w:sz w:val="20"/>
                <w:szCs w:val="20"/>
                <w:color w:val="auto"/>
              </w:rPr>
            </w:pPr>
            <w:r>
              <w:rPr>
                <w:rFonts w:ascii="Times New Roman" w:cs="Times New Roman" w:eastAsia="Times New Roman" w:hAnsi="Times New Roman"/>
                <w:sz w:val="14"/>
                <w:szCs w:val="14"/>
                <w:color w:val="auto"/>
                <w:w w:val="85"/>
              </w:rPr>
              <w:t>— </w:t>
            </w:r>
          </w:p>
        </w:tc>
        <w:tc>
          <w:tcPr>
            <w:tcW w:w="780" w:type="dxa"/>
            <w:vAlign w:val="bottom"/>
            <w:tcBorders>
              <w:right w:val="single" w:sz="8" w:color="BAD8EB"/>
            </w:tcBorders>
            <w:shd w:val="clear" w:color="auto" w:fill="BAD8EB"/>
          </w:tcPr>
          <w:p>
            <w:pPr>
              <w:jc w:val="center"/>
              <w:ind w:right="10"/>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tcBorders>
              <w:right w:val="single" w:sz="8" w:color="BAD8EB"/>
            </w:tcBorders>
            <w:shd w:val="clear" w:color="auto" w:fill="BAD8EB"/>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BAD8EB"/>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BAD8EB"/>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00" w:type="dxa"/>
            <w:vAlign w:val="bottom"/>
            <w:shd w:val="clear" w:color="auto" w:fill="BAD8EB"/>
          </w:tcPr>
          <w:p>
            <w:pPr>
              <w:spacing w:after="0"/>
              <w:rPr>
                <w:sz w:val="12"/>
                <w:szCs w:val="12"/>
                <w:color w:val="auto"/>
              </w:rPr>
            </w:pPr>
          </w:p>
        </w:tc>
        <w:tc>
          <w:tcPr>
            <w:tcW w:w="1080" w:type="dxa"/>
            <w:vAlign w:val="bottom"/>
            <w:shd w:val="clear" w:color="auto" w:fill="BAD8EB"/>
          </w:tcPr>
          <w:p>
            <w:pPr>
              <w:spacing w:after="0"/>
              <w:rPr>
                <w:sz w:val="12"/>
                <w:szCs w:val="12"/>
                <w:color w:val="auto"/>
              </w:rPr>
            </w:pPr>
          </w:p>
        </w:tc>
        <w:tc>
          <w:tcPr>
            <w:tcW w:w="80" w:type="dxa"/>
            <w:vAlign w:val="bottom"/>
            <w:shd w:val="clear" w:color="auto" w:fill="BAD8EB"/>
          </w:tcPr>
          <w:p>
            <w:pPr>
              <w:spacing w:after="0"/>
              <w:rPr>
                <w:sz w:val="12"/>
                <w:szCs w:val="12"/>
                <w:color w:val="auto"/>
              </w:rPr>
            </w:pPr>
          </w:p>
        </w:tc>
        <w:tc>
          <w:tcPr>
            <w:tcW w:w="860" w:type="dxa"/>
            <w:vAlign w:val="bottom"/>
            <w:tcBorders>
              <w:right w:val="single" w:sz="8" w:color="BAD8EB"/>
            </w:tcBorders>
            <w:shd w:val="clear" w:color="auto" w:fill="BAD8EB"/>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2/28/2025</w:t>
            </w:r>
            <w:r>
              <w:rPr>
                <w:rFonts w:ascii="Times New Roman" w:cs="Times New Roman" w:eastAsia="Times New Roman" w:hAnsi="Times New Roman"/>
                <w:sz w:val="10"/>
                <w:szCs w:val="10"/>
                <w:color w:val="auto"/>
              </w:rPr>
              <w:t>(5)</w:t>
            </w:r>
          </w:p>
        </w:tc>
        <w:tc>
          <w:tcPr>
            <w:tcW w:w="720" w:type="dxa"/>
            <w:vAlign w:val="bottom"/>
            <w:tcBorders>
              <w:right w:val="single" w:sz="8" w:color="BAD8EB"/>
            </w:tcBorders>
            <w:shd w:val="clear" w:color="auto" w:fill="BAD8EB"/>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right w:val="single" w:sz="8" w:color="BAD8EB"/>
            </w:tcBorders>
            <w:shd w:val="clear" w:color="auto" w:fill="BAD8EB"/>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right w:val="single" w:sz="8" w:color="BAD8EB"/>
            </w:tcBorders>
            <w:shd w:val="clear" w:color="auto" w:fill="BAD8EB"/>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BAD8EB"/>
            </w:tcBorders>
            <w:shd w:val="clear" w:color="auto" w:fill="BAD8EB"/>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BAD8EB"/>
            </w:tcBorders>
            <w:shd w:val="clear" w:color="auto" w:fill="BAD8EB"/>
          </w:tcPr>
          <w:p>
            <w:pPr>
              <w:jc w:val="center"/>
              <w:ind w:right="12"/>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gridSpan w:val="2"/>
            <w:shd w:val="clear" w:color="auto" w:fill="BAD8EB"/>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780" w:type="dxa"/>
            <w:vAlign w:val="bottom"/>
            <w:tcBorders>
              <w:right w:val="single" w:sz="8" w:color="BAD8EB"/>
            </w:tcBorders>
            <w:shd w:val="clear" w:color="auto" w:fill="BAD8EB"/>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tcBorders>
              <w:right w:val="single" w:sz="8" w:color="BAD8EB"/>
            </w:tcBorders>
            <w:shd w:val="clear" w:color="auto" w:fill="BAD8EB"/>
          </w:tcPr>
          <w:p>
            <w:pPr>
              <w:ind w:left="380"/>
              <w:spacing w:after="0" w:line="149" w:lineRule="exact"/>
              <w:rPr>
                <w:sz w:val="20"/>
                <w:szCs w:val="20"/>
                <w:color w:val="auto"/>
              </w:rPr>
            </w:pPr>
            <w:r>
              <w:rPr>
                <w:rFonts w:ascii="Times New Roman" w:cs="Times New Roman" w:eastAsia="Times New Roman" w:hAnsi="Times New Roman"/>
                <w:sz w:val="14"/>
                <w:szCs w:val="14"/>
                <w:color w:val="auto"/>
              </w:rPr>
              <w:t>29,331</w:t>
            </w:r>
          </w:p>
        </w:tc>
        <w:tc>
          <w:tcPr>
            <w:tcW w:w="1080" w:type="dxa"/>
            <w:vAlign w:val="bottom"/>
            <w:gridSpan w:val="2"/>
            <w:shd w:val="clear" w:color="auto" w:fill="BAD8EB"/>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BAD8EB"/>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BAD8EB"/>
          </w:tcPr>
          <w:p>
            <w:pPr>
              <w:jc w:val="right"/>
              <w:spacing w:after="0" w:line="149" w:lineRule="exact"/>
              <w:rPr>
                <w:sz w:val="20"/>
                <w:szCs w:val="20"/>
                <w:color w:val="auto"/>
              </w:rPr>
            </w:pPr>
            <w:r>
              <w:rPr>
                <w:rFonts w:ascii="Times New Roman" w:cs="Times New Roman" w:eastAsia="Times New Roman" w:hAnsi="Times New Roman"/>
                <w:sz w:val="14"/>
                <w:szCs w:val="14"/>
                <w:color w:val="auto"/>
              </w:rPr>
              <w:t>1,955,498</w:t>
            </w:r>
          </w:p>
        </w:tc>
        <w:tc>
          <w:tcPr>
            <w:tcW w:w="0" w:type="dxa"/>
            <w:vAlign w:val="bottom"/>
          </w:tcPr>
          <w:p>
            <w:pPr>
              <w:spacing w:after="0"/>
              <w:rPr>
                <w:sz w:val="1"/>
                <w:szCs w:val="1"/>
                <w:color w:val="auto"/>
              </w:rPr>
            </w:pPr>
          </w:p>
        </w:tc>
      </w:tr>
      <w:tr>
        <w:trPr>
          <w:trHeight w:val="198"/>
        </w:trPr>
        <w:tc>
          <w:tcPr>
            <w:tcW w:w="300" w:type="dxa"/>
            <w:vAlign w:val="bottom"/>
            <w:shd w:val="clear" w:color="auto" w:fill="BAD8EB"/>
          </w:tcPr>
          <w:p>
            <w:pPr>
              <w:spacing w:after="0"/>
              <w:rPr>
                <w:sz w:val="17"/>
                <w:szCs w:val="17"/>
                <w:color w:val="auto"/>
              </w:rPr>
            </w:pPr>
          </w:p>
        </w:tc>
        <w:tc>
          <w:tcPr>
            <w:tcW w:w="1080" w:type="dxa"/>
            <w:vAlign w:val="bottom"/>
            <w:shd w:val="clear" w:color="auto" w:fill="BAD8EB"/>
          </w:tcPr>
          <w:p>
            <w:pPr>
              <w:spacing w:after="0"/>
              <w:rPr>
                <w:sz w:val="17"/>
                <w:szCs w:val="17"/>
                <w:color w:val="auto"/>
              </w:rPr>
            </w:pPr>
          </w:p>
        </w:tc>
        <w:tc>
          <w:tcPr>
            <w:tcW w:w="80" w:type="dxa"/>
            <w:vAlign w:val="bottom"/>
            <w:shd w:val="clear" w:color="auto" w:fill="BAD8EB"/>
          </w:tcPr>
          <w:p>
            <w:pPr>
              <w:spacing w:after="0"/>
              <w:rPr>
                <w:sz w:val="17"/>
                <w:szCs w:val="17"/>
                <w:color w:val="auto"/>
              </w:rPr>
            </w:pPr>
          </w:p>
        </w:tc>
        <w:tc>
          <w:tcPr>
            <w:tcW w:w="860" w:type="dxa"/>
            <w:vAlign w:val="bottom"/>
            <w:tcBorders>
              <w:right w:val="single" w:sz="8" w:color="BAD8EB"/>
            </w:tcBorders>
            <w:shd w:val="clear" w:color="auto" w:fill="BAD8EB"/>
          </w:tcPr>
          <w:p>
            <w:pPr>
              <w:jc w:val="right"/>
              <w:ind w:right="11"/>
              <w:spacing w:after="0"/>
              <w:rPr>
                <w:sz w:val="20"/>
                <w:szCs w:val="20"/>
                <w:color w:val="auto"/>
              </w:rPr>
            </w:pPr>
            <w:r>
              <w:rPr>
                <w:rFonts w:ascii="Times New Roman" w:cs="Times New Roman" w:eastAsia="Times New Roman" w:hAnsi="Times New Roman"/>
                <w:sz w:val="14"/>
                <w:szCs w:val="14"/>
                <w:color w:val="auto"/>
              </w:rPr>
              <w:t>2/28/2025</w:t>
            </w:r>
            <w:r>
              <w:rPr>
                <w:rFonts w:ascii="Times New Roman" w:cs="Times New Roman" w:eastAsia="Times New Roman" w:hAnsi="Times New Roman"/>
                <w:sz w:val="10"/>
                <w:szCs w:val="10"/>
                <w:color w:val="auto"/>
              </w:rPr>
              <w:t>(4)</w:t>
            </w:r>
          </w:p>
        </w:tc>
        <w:tc>
          <w:tcPr>
            <w:tcW w:w="720" w:type="dxa"/>
            <w:vAlign w:val="bottom"/>
            <w:tcBorders>
              <w:right w:val="single" w:sz="8" w:color="BAD8EB"/>
            </w:tcBorders>
            <w:shd w:val="clear" w:color="auto" w:fill="BAD8EB"/>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right w:val="single" w:sz="8" w:color="BAD8EB"/>
            </w:tcBorders>
            <w:shd w:val="clear" w:color="auto" w:fill="BAD8EB"/>
          </w:tcPr>
          <w:p>
            <w:pPr>
              <w:jc w:val="right"/>
              <w:ind w:right="32"/>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right w:val="single" w:sz="8" w:color="BAD8EB"/>
            </w:tcBorders>
            <w:shd w:val="clear" w:color="auto" w:fill="BAD8EB"/>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BAD8EB"/>
            </w:tcBorders>
            <w:shd w:val="clear" w:color="auto" w:fill="BAD8EB"/>
          </w:tcPr>
          <w:p>
            <w:pPr>
              <w:jc w:val="right"/>
              <w:ind w:right="3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BAD8EB"/>
            </w:tcBorders>
            <w:shd w:val="clear" w:color="auto" w:fill="BAD8EB"/>
          </w:tcPr>
          <w:p>
            <w:pPr>
              <w:jc w:val="center"/>
              <w:ind w:right="12"/>
              <w:spacing w:after="0"/>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gridSpan w:val="2"/>
            <w:shd w:val="clear" w:color="auto" w:fill="BAD8EB"/>
          </w:tcPr>
          <w:p>
            <w:pPr>
              <w:jc w:val="center"/>
              <w:ind w:right="60"/>
              <w:spacing w:after="0"/>
              <w:rPr>
                <w:sz w:val="20"/>
                <w:szCs w:val="20"/>
                <w:color w:val="auto"/>
              </w:rPr>
            </w:pPr>
            <w:r>
              <w:rPr>
                <w:rFonts w:ascii="Times New Roman" w:cs="Times New Roman" w:eastAsia="Times New Roman" w:hAnsi="Times New Roman"/>
                <w:sz w:val="14"/>
                <w:szCs w:val="14"/>
                <w:color w:val="auto"/>
                <w:w w:val="85"/>
              </w:rPr>
              <w:t>— </w:t>
            </w:r>
          </w:p>
        </w:tc>
        <w:tc>
          <w:tcPr>
            <w:tcW w:w="780" w:type="dxa"/>
            <w:vAlign w:val="bottom"/>
            <w:tcBorders>
              <w:right w:val="single" w:sz="8" w:color="BAD8EB"/>
            </w:tcBorders>
            <w:shd w:val="clear" w:color="auto" w:fill="BAD8EB"/>
          </w:tcPr>
          <w:p>
            <w:pPr>
              <w:jc w:val="center"/>
              <w:ind w:right="10"/>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tcBorders>
              <w:right w:val="single" w:sz="8" w:color="BAD8EB"/>
            </w:tcBorders>
            <w:shd w:val="clear" w:color="auto" w:fill="BAD8EB"/>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shd w:val="clear" w:color="auto" w:fill="BAD8EB"/>
          </w:tcPr>
          <w:p>
            <w:pPr>
              <w:jc w:val="right"/>
              <w:ind w:right="174"/>
              <w:spacing w:after="0"/>
              <w:rPr>
                <w:sz w:val="20"/>
                <w:szCs w:val="20"/>
                <w:color w:val="auto"/>
              </w:rPr>
            </w:pPr>
            <w:r>
              <w:rPr>
                <w:rFonts w:ascii="Times New Roman" w:cs="Times New Roman" w:eastAsia="Times New Roman" w:hAnsi="Times New Roman"/>
                <w:sz w:val="14"/>
                <w:szCs w:val="14"/>
                <w:color w:val="auto"/>
              </w:rPr>
              <w:t>55,728</w:t>
            </w:r>
          </w:p>
        </w:tc>
        <w:tc>
          <w:tcPr>
            <w:tcW w:w="80" w:type="dxa"/>
            <w:vAlign w:val="bottom"/>
            <w:shd w:val="clear" w:color="auto" w:fill="BAD8EB"/>
          </w:tcPr>
          <w:p>
            <w:pPr>
              <w:spacing w:after="0"/>
              <w:rPr>
                <w:sz w:val="17"/>
                <w:szCs w:val="17"/>
                <w:color w:val="auto"/>
              </w:rPr>
            </w:pPr>
          </w:p>
        </w:tc>
        <w:tc>
          <w:tcPr>
            <w:tcW w:w="8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4"/>
                <w:szCs w:val="14"/>
                <w:color w:val="auto"/>
              </w:rPr>
              <w:t>66.67</w:t>
            </w:r>
          </w:p>
        </w:tc>
        <w:tc>
          <w:tcPr>
            <w:tcW w:w="80" w:type="dxa"/>
            <w:vAlign w:val="bottom"/>
            <w:shd w:val="clear" w:color="auto" w:fill="BAD8EB"/>
          </w:tcPr>
          <w:p>
            <w:pPr>
              <w:spacing w:after="0"/>
              <w:rPr>
                <w:sz w:val="17"/>
                <w:szCs w:val="17"/>
                <w:color w:val="auto"/>
              </w:rPr>
            </w:pPr>
          </w:p>
        </w:tc>
        <w:tc>
          <w:tcPr>
            <w:tcW w:w="66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4"/>
                <w:szCs w:val="14"/>
                <w:color w:val="auto"/>
              </w:rPr>
              <w:t>1,999,396</w:t>
            </w:r>
          </w:p>
        </w:tc>
        <w:tc>
          <w:tcPr>
            <w:tcW w:w="0" w:type="dxa"/>
            <w:vAlign w:val="bottom"/>
          </w:tcPr>
          <w:p>
            <w:pPr>
              <w:spacing w:after="0"/>
              <w:rPr>
                <w:sz w:val="1"/>
                <w:szCs w:val="1"/>
                <w:color w:val="auto"/>
              </w:rPr>
            </w:pPr>
          </w:p>
        </w:tc>
      </w:tr>
      <w:tr>
        <w:trPr>
          <w:trHeight w:val="126"/>
        </w:trPr>
        <w:tc>
          <w:tcPr>
            <w:tcW w:w="1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Scott Darling</w:t>
            </w:r>
          </w:p>
        </w:tc>
        <w:tc>
          <w:tcPr>
            <w:tcW w:w="80" w:type="dxa"/>
            <w:vAlign w:val="bottom"/>
          </w:tcPr>
          <w:p>
            <w:pPr>
              <w:spacing w:after="0"/>
              <w:rPr>
                <w:sz w:val="10"/>
                <w:szCs w:val="10"/>
                <w:color w:val="auto"/>
              </w:rPr>
            </w:pPr>
          </w:p>
        </w:tc>
        <w:tc>
          <w:tcPr>
            <w:tcW w:w="860" w:type="dxa"/>
            <w:vAlign w:val="bottom"/>
          </w:tcPr>
          <w:p>
            <w:pPr>
              <w:jc w:val="right"/>
              <w:ind w:right="31"/>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3/11/2025</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81,563</w:t>
            </w:r>
          </w:p>
        </w:tc>
        <w:tc>
          <w:tcPr>
            <w:tcW w:w="6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326,250</w:t>
            </w: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652,500</w:t>
            </w:r>
          </w:p>
        </w:tc>
        <w:tc>
          <w:tcPr>
            <w:tcW w:w="780" w:type="dxa"/>
            <w:vAlign w:val="bottom"/>
          </w:tcPr>
          <w:p>
            <w:pPr>
              <w:jc w:val="center"/>
              <w:ind w:right="12"/>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780" w:type="dxa"/>
            <w:vAlign w:val="bottom"/>
          </w:tcPr>
          <w:p>
            <w:pPr>
              <w:jc w:val="center"/>
              <w:ind w:right="1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tcPr>
          <w:p>
            <w:pPr>
              <w:ind w:left="56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ind w:left="5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2/28/2025</w:t>
            </w:r>
            <w:r>
              <w:rPr>
                <w:rFonts w:ascii="Times New Roman" w:cs="Times New Roman" w:eastAsia="Times New Roman" w:hAnsi="Times New Roman"/>
                <w:sz w:val="10"/>
                <w:szCs w:val="10"/>
                <w:color w:val="auto"/>
              </w:rPr>
              <w:t>(6)</w:t>
            </w:r>
          </w:p>
        </w:tc>
        <w:tc>
          <w:tcPr>
            <w:tcW w:w="72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780" w:type="dxa"/>
            <w:vAlign w:val="bottom"/>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14,666</w:t>
            </w:r>
          </w:p>
        </w:tc>
        <w:tc>
          <w:tcPr>
            <w:tcW w:w="10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977,782</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2/28/2025</w:t>
            </w:r>
            <w:r>
              <w:rPr>
                <w:rFonts w:ascii="Times New Roman" w:cs="Times New Roman" w:eastAsia="Times New Roman" w:hAnsi="Times New Roman"/>
                <w:sz w:val="10"/>
                <w:szCs w:val="10"/>
                <w:color w:val="auto"/>
              </w:rPr>
              <w:t>(7)</w:t>
            </w:r>
          </w:p>
        </w:tc>
        <w:tc>
          <w:tcPr>
            <w:tcW w:w="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85"/>
              </w:rPr>
              <w:t>— </w:t>
            </w: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27,864</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66.67</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1,005,699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4" w:lineRule="exact"/>
        <w:rPr>
          <w:sz w:val="20"/>
          <w:szCs w:val="20"/>
          <w:color w:val="auto"/>
        </w:rPr>
      </w:pPr>
    </w:p>
    <w:p>
      <w:pPr>
        <w:ind w:left="540" w:right="80" w:hanging="424"/>
        <w:spacing w:after="0" w:line="253"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“Estimated Future Payouts Under Non-Equity Incentive Plan Awards” columns relate to cash incentive opportunities under our 2025 Bonus Plan based upon the combined achievement of individual and corporate performance goals over fiscal year 2025. Under the 2025 Bonus Plan, payments are determined by multiplying each participant’s target bonus by (i) a factor determined by individual performance, capped at 150%, and (ii) a factor determined by the achievement of the corporate performance goals, capped at 200%. The actual amounts paid to our Named Executive Officers are set forth in the “2025 Summary Compensation Table” above, and the calculation of the actual amounts paid is discussed more fully in the section titled “</w:t>
      </w:r>
      <w:r>
        <w:rPr>
          <w:rFonts w:ascii="Times New Roman" w:cs="Times New Roman" w:eastAsia="Times New Roman" w:hAnsi="Times New Roman"/>
          <w:sz w:val="18"/>
          <w:szCs w:val="18"/>
          <w:i w:val="1"/>
          <w:iCs w:val="1"/>
          <w:color w:val="auto"/>
        </w:rPr>
        <w:t>Compensation Discussion and Analysis – Target Annual Cash Bonus Opportunities</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stock options is the closing price of our common stock on the date of grant.</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 of the RSU awards shown in the “Stock Awards” column represents the grant date fair value calculated on the basis of the fair market value of the underlying shares of common stock on the grant date in accordance with FASB ASC Topic 718. The dollar value of the stock option awards shown in the “Option Awards” column represents the grant date fair value calculated in accordance with FASB ASC Topic 718. The assumptions used in calculating the grant date fair value of the stock options reported in the “Option Awards” column are set forth in the notes to our consolidated financial statements included in our Annual Report on Form 10-K for the fiscal year ended December 31, 2025 as filed with the SEC on February 10, 2026. The actual value that the Named Executive Officer will realize on each RSU or option award will depend on the price per share of our common stock at the time shares underlying the RSUs vest or options are exercised. Accordingly, these amounts do not necessarily correspond to the actual value realized or that may be realized by our Named Executive Officers.</w:t>
      </w:r>
    </w:p>
    <w:p>
      <w:pPr>
        <w:spacing w:after="0" w:line="3" w:lineRule="exact"/>
        <w:rPr>
          <w:rFonts w:ascii="Times New Roman" w:cs="Times New Roman" w:eastAsia="Times New Roman" w:hAnsi="Times New Roman"/>
          <w:sz w:val="18"/>
          <w:szCs w:val="18"/>
          <w:color w:val="auto"/>
        </w:rPr>
      </w:pPr>
    </w:p>
    <w:p>
      <w:pPr>
        <w:ind w:left="540" w:right="52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One-forty eighth of the shares subject to the option shall vest on March 20, 2025 and each one-month period thereafter, subject to continued service with us through each such date.</w:t>
      </w:r>
    </w:p>
    <w:p>
      <w:pPr>
        <w:ind w:left="540" w:right="30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RSUs. Each RSU represents a contingent right to receive one share of our common stock. One-sixteenth of the RSUs shall vest on May 20, 2025 and each three-month period thereafter, subject to continued service with us through each such date.</w:t>
      </w:r>
    </w:p>
    <w:p>
      <w:pPr>
        <w:ind w:left="540" w:right="54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RSUs. Each RSU represents a contingent right to receive one share of our common stock. 40% of the RSUs shall vest quarterly in equal installments beginning on May 20, 2025, for 24 months, and the remaining 60% of the RSUs shall vest quarterly in equal installments for 24 months thereafter, subject to continued service with us through each such date.</w:t>
      </w:r>
    </w:p>
    <w:p>
      <w:pPr>
        <w:spacing w:after="0" w:line="1" w:lineRule="exact"/>
        <w:rPr>
          <w:rFonts w:ascii="Times New Roman" w:cs="Times New Roman" w:eastAsia="Times New Roman" w:hAnsi="Times New Roman"/>
          <w:sz w:val="18"/>
          <w:szCs w:val="18"/>
          <w:color w:val="auto"/>
        </w:rPr>
      </w:pPr>
    </w:p>
    <w:p>
      <w:pPr>
        <w:ind w:left="540" w:right="140" w:hanging="424"/>
        <w:spacing w:after="0" w:line="290" w:lineRule="auto"/>
        <w:tabs>
          <w:tab w:leader="none" w:pos="5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 of the shares subject to the option shall vest monthly in equal installments beginning on March 20, 2025, for 24 months, and the remaining 60% of the options shall vest monthly in equal installments for 24 months thereafter, subject to continued service with us through each such date.</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2025 Year-End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December 31,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vMerge w:val="continue"/>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5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Grant</w:t>
            </w:r>
          </w:p>
        </w:tc>
        <w:tc>
          <w:tcPr>
            <w:tcW w:w="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5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5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79"/>
              <w:spacing w:after="0" w:line="160" w:lineRule="exact"/>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0"/>
                <w:szCs w:val="10"/>
                <w:b w:val="1"/>
                <w:bCs w:val="1"/>
                <w:color w:val="auto"/>
              </w:rPr>
              <w:t>(1)</w:t>
            </w:r>
          </w:p>
        </w:tc>
        <w:tc>
          <w:tcPr>
            <w:tcW w:w="60" w:type="dxa"/>
            <w:vAlign w:val="bottom"/>
          </w:tcPr>
          <w:p>
            <w:pPr>
              <w:spacing w:after="0"/>
              <w:rPr>
                <w:sz w:val="15"/>
                <w:szCs w:val="15"/>
                <w:color w:val="auto"/>
              </w:rPr>
            </w:pPr>
          </w:p>
        </w:tc>
        <w:tc>
          <w:tcPr>
            <w:tcW w:w="13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58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Price ($)</w:t>
            </w:r>
            <w:r>
              <w:rPr>
                <w:rFonts w:ascii="Times New Roman" w:cs="Times New Roman" w:eastAsia="Times New Roman" w:hAnsi="Times New Roman"/>
                <w:sz w:val="10"/>
                <w:szCs w:val="10"/>
                <w:b w:val="1"/>
                <w:bCs w:val="1"/>
                <w:color w:val="auto"/>
              </w:rPr>
              <w:t>(2)</w:t>
            </w:r>
          </w:p>
        </w:tc>
        <w:tc>
          <w:tcPr>
            <w:tcW w:w="8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6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62"/>
        </w:trPr>
        <w:tc>
          <w:tcPr>
            <w:tcW w:w="940" w:type="dxa"/>
            <w:vAlign w:val="bottom"/>
            <w:tcBorders>
              <w:top w:val="single" w:sz="8" w:color="BAD8EB"/>
            </w:tcBorders>
            <w:gridSpan w:val="2"/>
            <w:shd w:val="clear" w:color="auto" w:fill="BAD8EB"/>
          </w:tcPr>
          <w:p>
            <w:pPr>
              <w:spacing w:after="0" w:line="162" w:lineRule="exact"/>
              <w:rPr>
                <w:sz w:val="20"/>
                <w:szCs w:val="20"/>
                <w:color w:val="auto"/>
              </w:rPr>
            </w:pPr>
            <w:r>
              <w:rPr>
                <w:rFonts w:ascii="Times New Roman" w:cs="Times New Roman" w:eastAsia="Times New Roman" w:hAnsi="Times New Roman"/>
                <w:sz w:val="16"/>
                <w:szCs w:val="16"/>
                <w:color w:val="auto"/>
              </w:rPr>
              <w:t>Dave</w:t>
            </w:r>
          </w:p>
        </w:tc>
        <w:tc>
          <w:tcPr>
            <w:tcW w:w="60" w:type="dxa"/>
            <w:vAlign w:val="bottom"/>
            <w:tcBorders>
              <w:top w:val="single" w:sz="8" w:color="BAD8EB"/>
            </w:tcBorders>
            <w:shd w:val="clear" w:color="auto" w:fill="BAD8EB"/>
          </w:tcPr>
          <w:p>
            <w:pPr>
              <w:spacing w:after="0"/>
              <w:rPr>
                <w:sz w:val="14"/>
                <w:szCs w:val="14"/>
                <w:color w:val="auto"/>
              </w:rPr>
            </w:pPr>
          </w:p>
        </w:tc>
        <w:tc>
          <w:tcPr>
            <w:tcW w:w="80" w:type="dxa"/>
            <w:vAlign w:val="bottom"/>
            <w:tcBorders>
              <w:top w:val="single" w:sz="8" w:color="auto"/>
            </w:tcBorders>
            <w:shd w:val="clear" w:color="auto" w:fill="BAD8EB"/>
          </w:tcPr>
          <w:p>
            <w:pPr>
              <w:spacing w:after="0"/>
              <w:rPr>
                <w:sz w:val="14"/>
                <w:szCs w:val="14"/>
                <w:color w:val="auto"/>
              </w:rPr>
            </w:pPr>
          </w:p>
        </w:tc>
        <w:tc>
          <w:tcPr>
            <w:tcW w:w="760" w:type="dxa"/>
            <w:vAlign w:val="bottom"/>
            <w:tcBorders>
              <w:top w:val="single" w:sz="8" w:color="auto"/>
            </w:tcBorders>
            <w:shd w:val="clear" w:color="auto" w:fill="BAD8EB"/>
          </w:tcPr>
          <w:p>
            <w:pPr>
              <w:spacing w:after="0"/>
              <w:rPr>
                <w:sz w:val="14"/>
                <w:szCs w:val="14"/>
                <w:color w:val="auto"/>
              </w:rPr>
            </w:pPr>
          </w:p>
        </w:tc>
        <w:tc>
          <w:tcPr>
            <w:tcW w:w="240" w:type="dxa"/>
            <w:vAlign w:val="bottom"/>
            <w:tcBorders>
              <w:top w:val="single" w:sz="8" w:color="auto"/>
            </w:tcBorders>
            <w:shd w:val="clear" w:color="auto" w:fill="BAD8EB"/>
          </w:tcPr>
          <w:p>
            <w:pPr>
              <w:spacing w:after="0"/>
              <w:rPr>
                <w:sz w:val="14"/>
                <w:szCs w:val="14"/>
                <w:color w:val="auto"/>
              </w:rPr>
            </w:pPr>
          </w:p>
        </w:tc>
        <w:tc>
          <w:tcPr>
            <w:tcW w:w="60" w:type="dxa"/>
            <w:vAlign w:val="bottom"/>
            <w:tcBorders>
              <w:top w:val="single" w:sz="8" w:color="BAD8EB"/>
            </w:tcBorders>
            <w:shd w:val="clear" w:color="auto" w:fill="BAD8EB"/>
          </w:tcPr>
          <w:p>
            <w:pPr>
              <w:spacing w:after="0"/>
              <w:rPr>
                <w:sz w:val="14"/>
                <w:szCs w:val="14"/>
                <w:color w:val="auto"/>
              </w:rPr>
            </w:pPr>
          </w:p>
        </w:tc>
        <w:tc>
          <w:tcPr>
            <w:tcW w:w="1280" w:type="dxa"/>
            <w:vAlign w:val="bottom"/>
            <w:tcBorders>
              <w:top w:val="single" w:sz="8" w:color="auto"/>
            </w:tcBorders>
            <w:shd w:val="clear" w:color="auto" w:fill="BAD8EB"/>
          </w:tcPr>
          <w:p>
            <w:pPr>
              <w:spacing w:after="0"/>
              <w:rPr>
                <w:sz w:val="14"/>
                <w:szCs w:val="14"/>
                <w:color w:val="auto"/>
              </w:rPr>
            </w:pPr>
          </w:p>
        </w:tc>
        <w:tc>
          <w:tcPr>
            <w:tcW w:w="60" w:type="dxa"/>
            <w:vAlign w:val="bottom"/>
            <w:tcBorders>
              <w:top w:val="single" w:sz="8" w:color="BAD8EB"/>
            </w:tcBorders>
            <w:shd w:val="clear" w:color="auto" w:fill="BAD8EB"/>
          </w:tcPr>
          <w:p>
            <w:pPr>
              <w:spacing w:after="0"/>
              <w:rPr>
                <w:sz w:val="14"/>
                <w:szCs w:val="14"/>
                <w:color w:val="auto"/>
              </w:rPr>
            </w:pPr>
          </w:p>
        </w:tc>
        <w:tc>
          <w:tcPr>
            <w:tcW w:w="1380" w:type="dxa"/>
            <w:vAlign w:val="bottom"/>
            <w:tcBorders>
              <w:top w:val="single" w:sz="8" w:color="auto"/>
            </w:tcBorders>
            <w:shd w:val="clear" w:color="auto" w:fill="BAD8EB"/>
          </w:tcPr>
          <w:p>
            <w:pPr>
              <w:spacing w:after="0"/>
              <w:rPr>
                <w:sz w:val="14"/>
                <w:szCs w:val="14"/>
                <w:color w:val="auto"/>
              </w:rPr>
            </w:pPr>
          </w:p>
        </w:tc>
        <w:tc>
          <w:tcPr>
            <w:tcW w:w="60" w:type="dxa"/>
            <w:vAlign w:val="bottom"/>
            <w:tcBorders>
              <w:top w:val="single" w:sz="8" w:color="BAD8EB"/>
            </w:tcBorders>
            <w:shd w:val="clear" w:color="auto" w:fill="BAD8EB"/>
          </w:tcPr>
          <w:p>
            <w:pPr>
              <w:spacing w:after="0"/>
              <w:rPr>
                <w:sz w:val="14"/>
                <w:szCs w:val="14"/>
                <w:color w:val="auto"/>
              </w:rPr>
            </w:pPr>
          </w:p>
        </w:tc>
        <w:tc>
          <w:tcPr>
            <w:tcW w:w="140" w:type="dxa"/>
            <w:vAlign w:val="bottom"/>
            <w:tcBorders>
              <w:top w:val="single" w:sz="8" w:color="auto"/>
            </w:tcBorders>
            <w:shd w:val="clear" w:color="auto" w:fill="BAD8EB"/>
          </w:tcPr>
          <w:p>
            <w:pPr>
              <w:spacing w:after="0"/>
              <w:rPr>
                <w:sz w:val="14"/>
                <w:szCs w:val="14"/>
                <w:color w:val="auto"/>
              </w:rPr>
            </w:pPr>
          </w:p>
        </w:tc>
        <w:tc>
          <w:tcPr>
            <w:tcW w:w="940" w:type="dxa"/>
            <w:vAlign w:val="bottom"/>
            <w:tcBorders>
              <w:top w:val="single" w:sz="8" w:color="auto"/>
            </w:tcBorders>
            <w:shd w:val="clear" w:color="auto" w:fill="BAD8EB"/>
          </w:tcPr>
          <w:p>
            <w:pPr>
              <w:spacing w:after="0"/>
              <w:rPr>
                <w:sz w:val="14"/>
                <w:szCs w:val="14"/>
                <w:color w:val="auto"/>
              </w:rPr>
            </w:pPr>
          </w:p>
        </w:tc>
        <w:tc>
          <w:tcPr>
            <w:tcW w:w="80" w:type="dxa"/>
            <w:vAlign w:val="bottom"/>
            <w:tcBorders>
              <w:top w:val="single" w:sz="8" w:color="BAD8EB"/>
            </w:tcBorders>
            <w:shd w:val="clear" w:color="auto" w:fill="BAD8EB"/>
          </w:tcPr>
          <w:p>
            <w:pPr>
              <w:spacing w:after="0"/>
              <w:rPr>
                <w:sz w:val="14"/>
                <w:szCs w:val="14"/>
                <w:color w:val="auto"/>
              </w:rPr>
            </w:pPr>
          </w:p>
        </w:tc>
        <w:tc>
          <w:tcPr>
            <w:tcW w:w="820" w:type="dxa"/>
            <w:vAlign w:val="bottom"/>
            <w:tcBorders>
              <w:top w:val="single" w:sz="8" w:color="auto"/>
            </w:tcBorders>
            <w:shd w:val="clear" w:color="auto" w:fill="BAD8EB"/>
          </w:tcPr>
          <w:p>
            <w:pPr>
              <w:spacing w:after="0"/>
              <w:rPr>
                <w:sz w:val="14"/>
                <w:szCs w:val="14"/>
                <w:color w:val="auto"/>
              </w:rPr>
            </w:pPr>
          </w:p>
        </w:tc>
        <w:tc>
          <w:tcPr>
            <w:tcW w:w="60" w:type="dxa"/>
            <w:vAlign w:val="bottom"/>
            <w:tcBorders>
              <w:top w:val="single" w:sz="8" w:color="BAD8EB"/>
            </w:tcBorders>
            <w:shd w:val="clear" w:color="auto" w:fill="BAD8EB"/>
          </w:tcPr>
          <w:p>
            <w:pPr>
              <w:spacing w:after="0"/>
              <w:rPr>
                <w:sz w:val="14"/>
                <w:szCs w:val="14"/>
                <w:color w:val="auto"/>
              </w:rPr>
            </w:pPr>
          </w:p>
        </w:tc>
        <w:tc>
          <w:tcPr>
            <w:tcW w:w="1140" w:type="dxa"/>
            <w:vAlign w:val="bottom"/>
            <w:tcBorders>
              <w:top w:val="single" w:sz="8" w:color="auto"/>
            </w:tcBorders>
            <w:shd w:val="clear" w:color="auto" w:fill="BAD8EB"/>
          </w:tcPr>
          <w:p>
            <w:pPr>
              <w:spacing w:after="0"/>
              <w:rPr>
                <w:sz w:val="14"/>
                <w:szCs w:val="14"/>
                <w:color w:val="auto"/>
              </w:rPr>
            </w:pPr>
          </w:p>
        </w:tc>
        <w:tc>
          <w:tcPr>
            <w:tcW w:w="60" w:type="dxa"/>
            <w:vAlign w:val="bottom"/>
            <w:tcBorders>
              <w:top w:val="single" w:sz="8" w:color="BAD8EB"/>
            </w:tcBorders>
            <w:shd w:val="clear" w:color="auto" w:fill="BAD8EB"/>
          </w:tcPr>
          <w:p>
            <w:pPr>
              <w:spacing w:after="0"/>
              <w:rPr>
                <w:sz w:val="14"/>
                <w:szCs w:val="14"/>
                <w:color w:val="auto"/>
              </w:rPr>
            </w:pPr>
          </w:p>
        </w:tc>
        <w:tc>
          <w:tcPr>
            <w:tcW w:w="940" w:type="dxa"/>
            <w:vAlign w:val="bottom"/>
            <w:tcBorders>
              <w:top w:val="single" w:sz="8" w:color="auto"/>
            </w:tcBorders>
            <w:shd w:val="clear" w:color="auto" w:fill="BAD8EB"/>
          </w:tcPr>
          <w:p>
            <w:pPr>
              <w:spacing w:after="0"/>
              <w:rPr>
                <w:sz w:val="14"/>
                <w:szCs w:val="14"/>
                <w:color w:val="auto"/>
              </w:rPr>
            </w:pPr>
          </w:p>
        </w:tc>
        <w:tc>
          <w:tcPr>
            <w:tcW w:w="60" w:type="dxa"/>
            <w:vAlign w:val="bottom"/>
            <w:tcBorders>
              <w:top w:val="single" w:sz="8" w:color="BAD8EB"/>
            </w:tcBorders>
            <w:shd w:val="clear" w:color="auto" w:fill="BAD8EB"/>
          </w:tcPr>
          <w:p>
            <w:pPr>
              <w:spacing w:after="0"/>
              <w:rPr>
                <w:sz w:val="14"/>
                <w:szCs w:val="14"/>
                <w:color w:val="auto"/>
              </w:rPr>
            </w:pPr>
          </w:p>
        </w:tc>
        <w:tc>
          <w:tcPr>
            <w:tcW w:w="860" w:type="dxa"/>
            <w:vAlign w:val="bottom"/>
            <w:tcBorders>
              <w:top w:val="single" w:sz="8" w:color="auto"/>
            </w:tcBorders>
            <w:shd w:val="clear" w:color="auto" w:fill="BAD8EB"/>
          </w:tcPr>
          <w:p>
            <w:pPr>
              <w:spacing w:after="0"/>
              <w:rPr>
                <w:sz w:val="14"/>
                <w:szCs w:val="14"/>
                <w:color w:val="auto"/>
              </w:rPr>
            </w:pPr>
          </w:p>
        </w:tc>
        <w:tc>
          <w:tcPr>
            <w:tcW w:w="60" w:type="dxa"/>
            <w:vAlign w:val="bottom"/>
            <w:tcBorders>
              <w:top w:val="single" w:sz="8" w:color="BAD8EB"/>
            </w:tcBorders>
            <w:shd w:val="clear" w:color="auto" w:fill="BAD8EB"/>
          </w:tcPr>
          <w:p>
            <w:pPr>
              <w:spacing w:after="0"/>
              <w:rPr>
                <w:sz w:val="14"/>
                <w:szCs w:val="14"/>
                <w:color w:val="auto"/>
              </w:rPr>
            </w:pPr>
          </w:p>
        </w:tc>
        <w:tc>
          <w:tcPr>
            <w:tcW w:w="940" w:type="dxa"/>
            <w:vAlign w:val="bottom"/>
            <w:tcBorders>
              <w:top w:val="single" w:sz="8" w:color="auto"/>
            </w:tcBorders>
            <w:shd w:val="clear" w:color="auto" w:fill="BAD8EB"/>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0" w:type="dxa"/>
            <w:vAlign w:val="bottom"/>
            <w:gridSpan w:val="2"/>
            <w:shd w:val="clear" w:color="auto" w:fill="BAD8EB"/>
          </w:tcPr>
          <w:p>
            <w:pPr>
              <w:ind w:left="160"/>
              <w:spacing w:after="0"/>
              <w:rPr>
                <w:sz w:val="20"/>
                <w:szCs w:val="20"/>
                <w:color w:val="auto"/>
              </w:rPr>
            </w:pPr>
            <w:r>
              <w:rPr>
                <w:rFonts w:ascii="Times New Roman" w:cs="Times New Roman" w:eastAsia="Times New Roman" w:hAnsi="Times New Roman"/>
                <w:sz w:val="16"/>
                <w:szCs w:val="16"/>
                <w:color w:val="auto"/>
              </w:rPr>
              <w:t>Girouard</w:t>
            </w:r>
          </w:p>
        </w:tc>
        <w:tc>
          <w:tcPr>
            <w:tcW w:w="1140" w:type="dxa"/>
            <w:vAlign w:val="bottom"/>
            <w:gridSpan w:val="4"/>
            <w:shd w:val="clear" w:color="auto" w:fill="BAD8EB"/>
          </w:tcPr>
          <w:p>
            <w:pPr>
              <w:jc w:val="right"/>
              <w:ind w:right="179"/>
              <w:spacing w:after="0"/>
              <w:rPr>
                <w:sz w:val="20"/>
                <w:szCs w:val="20"/>
                <w:color w:val="auto"/>
              </w:rPr>
            </w:pPr>
            <w:r>
              <w:rPr>
                <w:rFonts w:ascii="Times New Roman" w:cs="Times New Roman" w:eastAsia="Times New Roman" w:hAnsi="Times New Roman"/>
                <w:sz w:val="16"/>
                <w:szCs w:val="16"/>
                <w:color w:val="auto"/>
              </w:rPr>
              <w:t>9/20/2016</w:t>
            </w:r>
          </w:p>
        </w:tc>
        <w:tc>
          <w:tcPr>
            <w:tcW w:w="1340" w:type="dxa"/>
            <w:vAlign w:val="bottom"/>
            <w:gridSpan w:val="2"/>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835,075</w:t>
            </w:r>
          </w:p>
        </w:tc>
        <w:tc>
          <w:tcPr>
            <w:tcW w:w="60" w:type="dxa"/>
            <w:vAlign w:val="bottom"/>
            <w:shd w:val="clear" w:color="auto" w:fill="BAD8EB"/>
          </w:tcPr>
          <w:p>
            <w:pPr>
              <w:spacing w:after="0"/>
              <w:rPr>
                <w:sz w:val="18"/>
                <w:szCs w:val="18"/>
                <w:color w:val="auto"/>
              </w:rPr>
            </w:pPr>
          </w:p>
        </w:tc>
        <w:tc>
          <w:tcPr>
            <w:tcW w:w="1580" w:type="dxa"/>
            <w:vAlign w:val="bottom"/>
            <w:gridSpan w:val="3"/>
            <w:shd w:val="clear" w:color="auto" w:fill="BAD8EB"/>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0.83</w:t>
            </w:r>
          </w:p>
        </w:tc>
        <w:tc>
          <w:tcPr>
            <w:tcW w:w="80" w:type="dxa"/>
            <w:vAlign w:val="bottom"/>
            <w:shd w:val="clear" w:color="auto" w:fill="BAD8EB"/>
          </w:tcPr>
          <w:p>
            <w:pPr>
              <w:spacing w:after="0"/>
              <w:rPr>
                <w:sz w:val="18"/>
                <w:szCs w:val="18"/>
                <w:color w:val="auto"/>
              </w:rPr>
            </w:pPr>
          </w:p>
        </w:tc>
        <w:tc>
          <w:tcPr>
            <w:tcW w:w="88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9/20/2026</w:t>
            </w:r>
          </w:p>
        </w:tc>
        <w:tc>
          <w:tcPr>
            <w:tcW w:w="120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29"/>
        </w:trPr>
        <w:tc>
          <w:tcPr>
            <w:tcW w:w="360" w:type="dxa"/>
            <w:vAlign w:val="bottom"/>
            <w:shd w:val="clear" w:color="auto" w:fill="BAD8EB"/>
          </w:tcPr>
          <w:p>
            <w:pPr>
              <w:spacing w:after="0"/>
              <w:rPr>
                <w:sz w:val="19"/>
                <w:szCs w:val="19"/>
                <w:color w:val="auto"/>
              </w:rPr>
            </w:pPr>
          </w:p>
        </w:tc>
        <w:tc>
          <w:tcPr>
            <w:tcW w:w="580" w:type="dxa"/>
            <w:vAlign w:val="bottom"/>
            <w:shd w:val="clear" w:color="auto" w:fill="BAD8EB"/>
          </w:tcPr>
          <w:p>
            <w:pPr>
              <w:spacing w:after="0"/>
              <w:rPr>
                <w:sz w:val="19"/>
                <w:szCs w:val="19"/>
                <w:color w:val="auto"/>
              </w:rPr>
            </w:pPr>
          </w:p>
        </w:tc>
        <w:tc>
          <w:tcPr>
            <w:tcW w:w="60" w:type="dxa"/>
            <w:vAlign w:val="bottom"/>
            <w:shd w:val="clear" w:color="auto" w:fill="BAD8EB"/>
          </w:tcPr>
          <w:p>
            <w:pPr>
              <w:spacing w:after="0"/>
              <w:rPr>
                <w:sz w:val="19"/>
                <w:szCs w:val="19"/>
                <w:color w:val="auto"/>
              </w:rPr>
            </w:pPr>
          </w:p>
        </w:tc>
        <w:tc>
          <w:tcPr>
            <w:tcW w:w="1080" w:type="dxa"/>
            <w:vAlign w:val="bottom"/>
            <w:gridSpan w:val="3"/>
            <w:shd w:val="clear" w:color="auto" w:fill="BAD8EB"/>
          </w:tcPr>
          <w:p>
            <w:pPr>
              <w:jc w:val="right"/>
              <w:ind w:right="179"/>
              <w:spacing w:after="0"/>
              <w:rPr>
                <w:sz w:val="20"/>
                <w:szCs w:val="20"/>
                <w:color w:val="auto"/>
              </w:rPr>
            </w:pPr>
            <w:r>
              <w:rPr>
                <w:rFonts w:ascii="Times New Roman" w:cs="Times New Roman" w:eastAsia="Times New Roman" w:hAnsi="Times New Roman"/>
                <w:sz w:val="16"/>
                <w:szCs w:val="16"/>
                <w:color w:val="auto"/>
              </w:rPr>
              <w:t>11/6/2020</w:t>
            </w:r>
          </w:p>
        </w:tc>
        <w:tc>
          <w:tcPr>
            <w:tcW w:w="1340" w:type="dxa"/>
            <w:vAlign w:val="bottom"/>
            <w:gridSpan w:val="2"/>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550,000</w:t>
            </w:r>
          </w:p>
        </w:tc>
        <w:tc>
          <w:tcPr>
            <w:tcW w:w="60" w:type="dxa"/>
            <w:vAlign w:val="bottom"/>
            <w:shd w:val="clear" w:color="auto" w:fill="BAD8EB"/>
          </w:tcPr>
          <w:p>
            <w:pPr>
              <w:spacing w:after="0"/>
              <w:rPr>
                <w:sz w:val="19"/>
                <w:szCs w:val="19"/>
                <w:color w:val="auto"/>
              </w:rPr>
            </w:pPr>
          </w:p>
        </w:tc>
        <w:tc>
          <w:tcPr>
            <w:tcW w:w="1580" w:type="dxa"/>
            <w:vAlign w:val="bottom"/>
            <w:gridSpan w:val="3"/>
            <w:shd w:val="clear" w:color="auto" w:fill="BAD8EB"/>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18.44</w:t>
            </w:r>
          </w:p>
        </w:tc>
        <w:tc>
          <w:tcPr>
            <w:tcW w:w="80" w:type="dxa"/>
            <w:vAlign w:val="bottom"/>
            <w:shd w:val="clear" w:color="auto" w:fill="BAD8EB"/>
          </w:tcPr>
          <w:p>
            <w:pPr>
              <w:spacing w:after="0"/>
              <w:rPr>
                <w:sz w:val="19"/>
                <w:szCs w:val="19"/>
                <w:color w:val="auto"/>
              </w:rPr>
            </w:pPr>
          </w:p>
        </w:tc>
        <w:tc>
          <w:tcPr>
            <w:tcW w:w="88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11/6/2030</w:t>
            </w:r>
          </w:p>
        </w:tc>
        <w:tc>
          <w:tcPr>
            <w:tcW w:w="120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29"/>
        </w:trPr>
        <w:tc>
          <w:tcPr>
            <w:tcW w:w="360" w:type="dxa"/>
            <w:vAlign w:val="bottom"/>
            <w:shd w:val="clear" w:color="auto" w:fill="BAD8EB"/>
          </w:tcPr>
          <w:p>
            <w:pPr>
              <w:spacing w:after="0"/>
              <w:rPr>
                <w:sz w:val="19"/>
                <w:szCs w:val="19"/>
                <w:color w:val="auto"/>
              </w:rPr>
            </w:pPr>
          </w:p>
        </w:tc>
        <w:tc>
          <w:tcPr>
            <w:tcW w:w="580" w:type="dxa"/>
            <w:vAlign w:val="bottom"/>
            <w:shd w:val="clear" w:color="auto" w:fill="BAD8EB"/>
          </w:tcPr>
          <w:p>
            <w:pPr>
              <w:spacing w:after="0"/>
              <w:rPr>
                <w:sz w:val="19"/>
                <w:szCs w:val="19"/>
                <w:color w:val="auto"/>
              </w:rPr>
            </w:pPr>
          </w:p>
        </w:tc>
        <w:tc>
          <w:tcPr>
            <w:tcW w:w="60" w:type="dxa"/>
            <w:vAlign w:val="bottom"/>
            <w:shd w:val="clear" w:color="auto" w:fill="BAD8EB"/>
          </w:tcPr>
          <w:p>
            <w:pPr>
              <w:spacing w:after="0"/>
              <w:rPr>
                <w:sz w:val="19"/>
                <w:szCs w:val="19"/>
                <w:color w:val="auto"/>
              </w:rPr>
            </w:pPr>
          </w:p>
        </w:tc>
        <w:tc>
          <w:tcPr>
            <w:tcW w:w="1080" w:type="dxa"/>
            <w:vAlign w:val="bottom"/>
            <w:gridSpan w:val="3"/>
            <w:shd w:val="clear" w:color="auto" w:fill="BAD8EB"/>
          </w:tcPr>
          <w:p>
            <w:pPr>
              <w:jc w:val="right"/>
              <w:ind w:right="179"/>
              <w:spacing w:after="0"/>
              <w:rPr>
                <w:sz w:val="20"/>
                <w:szCs w:val="20"/>
                <w:color w:val="auto"/>
              </w:rPr>
            </w:pPr>
            <w:r>
              <w:rPr>
                <w:rFonts w:ascii="Times New Roman" w:cs="Times New Roman" w:eastAsia="Times New Roman" w:hAnsi="Times New Roman"/>
                <w:sz w:val="16"/>
                <w:szCs w:val="16"/>
                <w:color w:val="auto"/>
              </w:rPr>
              <w:t>3/20/2021</w:t>
            </w:r>
          </w:p>
        </w:tc>
        <w:tc>
          <w:tcPr>
            <w:tcW w:w="1340" w:type="dxa"/>
            <w:vAlign w:val="bottom"/>
            <w:gridSpan w:val="2"/>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106,486</w:t>
            </w:r>
          </w:p>
        </w:tc>
        <w:tc>
          <w:tcPr>
            <w:tcW w:w="60" w:type="dxa"/>
            <w:vAlign w:val="bottom"/>
            <w:shd w:val="clear" w:color="auto" w:fill="BAD8EB"/>
          </w:tcPr>
          <w:p>
            <w:pPr>
              <w:spacing w:after="0"/>
              <w:rPr>
                <w:sz w:val="19"/>
                <w:szCs w:val="19"/>
                <w:color w:val="auto"/>
              </w:rPr>
            </w:pPr>
          </w:p>
        </w:tc>
        <w:tc>
          <w:tcPr>
            <w:tcW w:w="1580" w:type="dxa"/>
            <w:vAlign w:val="bottom"/>
            <w:gridSpan w:val="3"/>
            <w:shd w:val="clear" w:color="auto" w:fill="BAD8EB"/>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125.28</w:t>
            </w:r>
          </w:p>
        </w:tc>
        <w:tc>
          <w:tcPr>
            <w:tcW w:w="80" w:type="dxa"/>
            <w:vAlign w:val="bottom"/>
            <w:shd w:val="clear" w:color="auto" w:fill="BAD8EB"/>
          </w:tcPr>
          <w:p>
            <w:pPr>
              <w:spacing w:after="0"/>
              <w:rPr>
                <w:sz w:val="19"/>
                <w:szCs w:val="19"/>
                <w:color w:val="auto"/>
              </w:rPr>
            </w:pPr>
          </w:p>
        </w:tc>
        <w:tc>
          <w:tcPr>
            <w:tcW w:w="88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3/20/2031</w:t>
            </w:r>
          </w:p>
        </w:tc>
        <w:tc>
          <w:tcPr>
            <w:tcW w:w="120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0"/>
        </w:trPr>
        <w:tc>
          <w:tcPr>
            <w:tcW w:w="360" w:type="dxa"/>
            <w:vAlign w:val="bottom"/>
            <w:shd w:val="clear" w:color="auto" w:fill="BAD8EB"/>
          </w:tcPr>
          <w:p>
            <w:pPr>
              <w:spacing w:after="0"/>
              <w:rPr>
                <w:sz w:val="19"/>
                <w:szCs w:val="19"/>
                <w:color w:val="auto"/>
              </w:rPr>
            </w:pPr>
          </w:p>
        </w:tc>
        <w:tc>
          <w:tcPr>
            <w:tcW w:w="580" w:type="dxa"/>
            <w:vAlign w:val="bottom"/>
            <w:shd w:val="clear" w:color="auto" w:fill="BAD8EB"/>
          </w:tcPr>
          <w:p>
            <w:pPr>
              <w:spacing w:after="0"/>
              <w:rPr>
                <w:sz w:val="19"/>
                <w:szCs w:val="19"/>
                <w:color w:val="auto"/>
              </w:rPr>
            </w:pPr>
          </w:p>
        </w:tc>
        <w:tc>
          <w:tcPr>
            <w:tcW w:w="60" w:type="dxa"/>
            <w:vAlign w:val="bottom"/>
            <w:shd w:val="clear" w:color="auto" w:fill="BAD8EB"/>
          </w:tcPr>
          <w:p>
            <w:pPr>
              <w:spacing w:after="0"/>
              <w:rPr>
                <w:sz w:val="19"/>
                <w:szCs w:val="19"/>
                <w:color w:val="auto"/>
              </w:rPr>
            </w:pPr>
          </w:p>
        </w:tc>
        <w:tc>
          <w:tcPr>
            <w:tcW w:w="80" w:type="dxa"/>
            <w:vAlign w:val="bottom"/>
            <w:shd w:val="clear" w:color="auto" w:fill="BAD8EB"/>
          </w:tcPr>
          <w:p>
            <w:pPr>
              <w:spacing w:after="0"/>
              <w:rPr>
                <w:sz w:val="19"/>
                <w:szCs w:val="19"/>
                <w:color w:val="auto"/>
              </w:rPr>
            </w:pPr>
          </w:p>
        </w:tc>
        <w:tc>
          <w:tcPr>
            <w:tcW w:w="1000" w:type="dxa"/>
            <w:vAlign w:val="bottom"/>
            <w:gridSpan w:val="2"/>
            <w:shd w:val="clear" w:color="auto" w:fill="BAD8EB"/>
          </w:tcPr>
          <w:p>
            <w:pPr>
              <w:jc w:val="right"/>
              <w:ind w:right="179"/>
              <w:spacing w:after="0"/>
              <w:rPr>
                <w:sz w:val="20"/>
                <w:szCs w:val="20"/>
                <w:color w:val="auto"/>
              </w:rPr>
            </w:pPr>
            <w:r>
              <w:rPr>
                <w:rFonts w:ascii="Times New Roman" w:cs="Times New Roman" w:eastAsia="Times New Roman" w:hAnsi="Times New Roman"/>
                <w:sz w:val="16"/>
                <w:szCs w:val="16"/>
                <w:color w:val="auto"/>
              </w:rPr>
              <w:t>2/20/2022</w:t>
            </w:r>
          </w:p>
        </w:tc>
        <w:tc>
          <w:tcPr>
            <w:tcW w:w="1340" w:type="dxa"/>
            <w:vAlign w:val="bottom"/>
            <w:gridSpan w:val="2"/>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74,515</w:t>
            </w:r>
          </w:p>
        </w:tc>
        <w:tc>
          <w:tcPr>
            <w:tcW w:w="60" w:type="dxa"/>
            <w:vAlign w:val="bottom"/>
            <w:shd w:val="clear" w:color="auto" w:fill="BAD8EB"/>
          </w:tcPr>
          <w:p>
            <w:pPr>
              <w:spacing w:after="0"/>
              <w:rPr>
                <w:sz w:val="19"/>
                <w:szCs w:val="19"/>
                <w:color w:val="auto"/>
              </w:rPr>
            </w:pPr>
          </w:p>
        </w:tc>
        <w:tc>
          <w:tcPr>
            <w:tcW w:w="1580" w:type="dxa"/>
            <w:vAlign w:val="bottom"/>
            <w:gridSpan w:val="3"/>
            <w:shd w:val="clear" w:color="auto" w:fill="BAD8EB"/>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130.05</w:t>
            </w:r>
          </w:p>
        </w:tc>
        <w:tc>
          <w:tcPr>
            <w:tcW w:w="80" w:type="dxa"/>
            <w:vAlign w:val="bottom"/>
            <w:shd w:val="clear" w:color="auto" w:fill="BAD8EB"/>
          </w:tcPr>
          <w:p>
            <w:pPr>
              <w:spacing w:after="0"/>
              <w:rPr>
                <w:sz w:val="19"/>
                <w:szCs w:val="19"/>
                <w:color w:val="auto"/>
              </w:rPr>
            </w:pPr>
          </w:p>
        </w:tc>
        <w:tc>
          <w:tcPr>
            <w:tcW w:w="88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2/20/2032</w:t>
            </w:r>
          </w:p>
        </w:tc>
        <w:tc>
          <w:tcPr>
            <w:tcW w:w="120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29"/>
        </w:trPr>
        <w:tc>
          <w:tcPr>
            <w:tcW w:w="360" w:type="dxa"/>
            <w:vAlign w:val="bottom"/>
            <w:shd w:val="clear" w:color="auto" w:fill="BAD8EB"/>
          </w:tcPr>
          <w:p>
            <w:pPr>
              <w:spacing w:after="0"/>
              <w:rPr>
                <w:sz w:val="19"/>
                <w:szCs w:val="19"/>
                <w:color w:val="auto"/>
              </w:rPr>
            </w:pPr>
          </w:p>
        </w:tc>
        <w:tc>
          <w:tcPr>
            <w:tcW w:w="580" w:type="dxa"/>
            <w:vAlign w:val="bottom"/>
            <w:shd w:val="clear" w:color="auto" w:fill="BAD8EB"/>
          </w:tcPr>
          <w:p>
            <w:pPr>
              <w:spacing w:after="0"/>
              <w:rPr>
                <w:sz w:val="19"/>
                <w:szCs w:val="19"/>
                <w:color w:val="auto"/>
              </w:rPr>
            </w:pPr>
          </w:p>
        </w:tc>
        <w:tc>
          <w:tcPr>
            <w:tcW w:w="60" w:type="dxa"/>
            <w:vAlign w:val="bottom"/>
            <w:shd w:val="clear" w:color="auto" w:fill="BAD8EB"/>
          </w:tcPr>
          <w:p>
            <w:pPr>
              <w:spacing w:after="0"/>
              <w:rPr>
                <w:sz w:val="19"/>
                <w:szCs w:val="19"/>
                <w:color w:val="auto"/>
              </w:rPr>
            </w:pPr>
          </w:p>
        </w:tc>
        <w:tc>
          <w:tcPr>
            <w:tcW w:w="80" w:type="dxa"/>
            <w:vAlign w:val="bottom"/>
            <w:shd w:val="clear" w:color="auto" w:fill="BAD8EB"/>
          </w:tcPr>
          <w:p>
            <w:pPr>
              <w:spacing w:after="0"/>
              <w:rPr>
                <w:sz w:val="19"/>
                <w:szCs w:val="19"/>
                <w:color w:val="auto"/>
              </w:rPr>
            </w:pPr>
          </w:p>
        </w:tc>
        <w:tc>
          <w:tcPr>
            <w:tcW w:w="76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3/17/2023</w:t>
            </w:r>
          </w:p>
        </w:tc>
        <w:tc>
          <w:tcPr>
            <w:tcW w:w="240" w:type="dxa"/>
            <w:vAlign w:val="bottom"/>
            <w:shd w:val="clear" w:color="auto" w:fill="BAD8EB"/>
          </w:tcPr>
          <w:p>
            <w:pPr>
              <w:spacing w:after="0"/>
              <w:rPr>
                <w:sz w:val="20"/>
                <w:szCs w:val="20"/>
                <w:color w:val="auto"/>
              </w:rPr>
            </w:pPr>
            <w:r>
              <w:rPr>
                <w:rFonts w:ascii="Times New Roman" w:cs="Times New Roman" w:eastAsia="Times New Roman" w:hAnsi="Times New Roman"/>
                <w:sz w:val="12"/>
                <w:szCs w:val="12"/>
                <w:color w:val="auto"/>
              </w:rPr>
              <w:t>(6)</w:t>
            </w:r>
          </w:p>
        </w:tc>
        <w:tc>
          <w:tcPr>
            <w:tcW w:w="1340" w:type="dxa"/>
            <w:vAlign w:val="bottom"/>
            <w:gridSpan w:val="2"/>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571,415</w:t>
            </w:r>
          </w:p>
        </w:tc>
        <w:tc>
          <w:tcPr>
            <w:tcW w:w="60" w:type="dxa"/>
            <w:vAlign w:val="bottom"/>
            <w:shd w:val="clear" w:color="auto" w:fill="BAD8EB"/>
          </w:tcPr>
          <w:p>
            <w:pPr>
              <w:spacing w:after="0"/>
              <w:rPr>
                <w:sz w:val="19"/>
                <w:szCs w:val="19"/>
                <w:color w:val="auto"/>
              </w:rPr>
            </w:pPr>
          </w:p>
        </w:tc>
        <w:tc>
          <w:tcPr>
            <w:tcW w:w="1380" w:type="dxa"/>
            <w:vAlign w:val="bottom"/>
            <w:shd w:val="clear" w:color="auto" w:fill="BAD8EB"/>
          </w:tcPr>
          <w:p>
            <w:pPr>
              <w:jc w:val="right"/>
              <w:ind w:right="321"/>
              <w:spacing w:after="0"/>
              <w:rPr>
                <w:sz w:val="20"/>
                <w:szCs w:val="20"/>
                <w:color w:val="auto"/>
              </w:rPr>
            </w:pPr>
            <w:r>
              <w:rPr>
                <w:rFonts w:ascii="Times New Roman" w:cs="Times New Roman" w:eastAsia="Times New Roman" w:hAnsi="Times New Roman"/>
                <w:sz w:val="16"/>
                <w:szCs w:val="16"/>
                <w:color w:val="auto"/>
              </w:rPr>
              <w:t>235,289</w:t>
            </w:r>
          </w:p>
        </w:tc>
        <w:tc>
          <w:tcPr>
            <w:tcW w:w="60" w:type="dxa"/>
            <w:vAlign w:val="bottom"/>
            <w:shd w:val="clear" w:color="auto" w:fill="BAD8EB"/>
          </w:tcPr>
          <w:p>
            <w:pPr>
              <w:spacing w:after="0"/>
              <w:rPr>
                <w:sz w:val="19"/>
                <w:szCs w:val="19"/>
                <w:color w:val="auto"/>
              </w:rPr>
            </w:pPr>
          </w:p>
        </w:tc>
        <w:tc>
          <w:tcPr>
            <w:tcW w:w="140" w:type="dxa"/>
            <w:vAlign w:val="bottom"/>
            <w:shd w:val="clear" w:color="auto" w:fill="BAD8EB"/>
          </w:tcPr>
          <w:p>
            <w:pPr>
              <w:spacing w:after="0"/>
              <w:rPr>
                <w:sz w:val="19"/>
                <w:szCs w:val="19"/>
                <w:color w:val="auto"/>
              </w:rPr>
            </w:pPr>
          </w:p>
        </w:tc>
        <w:tc>
          <w:tcPr>
            <w:tcW w:w="940" w:type="dxa"/>
            <w:vAlign w:val="bottom"/>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15.23</w:t>
            </w:r>
          </w:p>
        </w:tc>
        <w:tc>
          <w:tcPr>
            <w:tcW w:w="80" w:type="dxa"/>
            <w:vAlign w:val="bottom"/>
            <w:shd w:val="clear" w:color="auto" w:fill="BAD8EB"/>
          </w:tcPr>
          <w:p>
            <w:pPr>
              <w:spacing w:after="0"/>
              <w:rPr>
                <w:sz w:val="19"/>
                <w:szCs w:val="19"/>
                <w:color w:val="auto"/>
              </w:rPr>
            </w:pPr>
          </w:p>
        </w:tc>
        <w:tc>
          <w:tcPr>
            <w:tcW w:w="88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3/17/2033</w:t>
            </w:r>
          </w:p>
        </w:tc>
        <w:tc>
          <w:tcPr>
            <w:tcW w:w="120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0"/>
        </w:trPr>
        <w:tc>
          <w:tcPr>
            <w:tcW w:w="360" w:type="dxa"/>
            <w:vAlign w:val="bottom"/>
            <w:shd w:val="clear" w:color="auto" w:fill="BAD8EB"/>
          </w:tcPr>
          <w:p>
            <w:pPr>
              <w:spacing w:after="0"/>
              <w:rPr>
                <w:sz w:val="19"/>
                <w:szCs w:val="19"/>
                <w:color w:val="auto"/>
              </w:rPr>
            </w:pPr>
          </w:p>
        </w:tc>
        <w:tc>
          <w:tcPr>
            <w:tcW w:w="580" w:type="dxa"/>
            <w:vAlign w:val="bottom"/>
            <w:shd w:val="clear" w:color="auto" w:fill="BAD8EB"/>
          </w:tcPr>
          <w:p>
            <w:pPr>
              <w:spacing w:after="0"/>
              <w:rPr>
                <w:sz w:val="19"/>
                <w:szCs w:val="19"/>
                <w:color w:val="auto"/>
              </w:rPr>
            </w:pPr>
          </w:p>
        </w:tc>
        <w:tc>
          <w:tcPr>
            <w:tcW w:w="60" w:type="dxa"/>
            <w:vAlign w:val="bottom"/>
            <w:shd w:val="clear" w:color="auto" w:fill="BAD8EB"/>
          </w:tcPr>
          <w:p>
            <w:pPr>
              <w:spacing w:after="0"/>
              <w:rPr>
                <w:sz w:val="19"/>
                <w:szCs w:val="19"/>
                <w:color w:val="auto"/>
              </w:rPr>
            </w:pPr>
          </w:p>
        </w:tc>
        <w:tc>
          <w:tcPr>
            <w:tcW w:w="80" w:type="dxa"/>
            <w:vAlign w:val="bottom"/>
            <w:shd w:val="clear" w:color="auto" w:fill="BAD8EB"/>
          </w:tcPr>
          <w:p>
            <w:pPr>
              <w:spacing w:after="0"/>
              <w:rPr>
                <w:sz w:val="19"/>
                <w:szCs w:val="19"/>
                <w:color w:val="auto"/>
              </w:rPr>
            </w:pPr>
          </w:p>
        </w:tc>
        <w:tc>
          <w:tcPr>
            <w:tcW w:w="76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2/29/2024</w:t>
            </w:r>
          </w:p>
        </w:tc>
        <w:tc>
          <w:tcPr>
            <w:tcW w:w="240" w:type="dxa"/>
            <w:vAlign w:val="bottom"/>
            <w:shd w:val="clear" w:color="auto" w:fill="BAD8EB"/>
          </w:tcPr>
          <w:p>
            <w:pPr>
              <w:spacing w:after="0"/>
              <w:rPr>
                <w:sz w:val="20"/>
                <w:szCs w:val="20"/>
                <w:color w:val="auto"/>
              </w:rPr>
            </w:pPr>
            <w:r>
              <w:rPr>
                <w:rFonts w:ascii="Times New Roman" w:cs="Times New Roman" w:eastAsia="Times New Roman" w:hAnsi="Times New Roman"/>
                <w:sz w:val="12"/>
                <w:szCs w:val="12"/>
                <w:color w:val="auto"/>
              </w:rPr>
              <w:t>(8)</w:t>
            </w:r>
          </w:p>
        </w:tc>
        <w:tc>
          <w:tcPr>
            <w:tcW w:w="1340" w:type="dxa"/>
            <w:vAlign w:val="bottom"/>
            <w:gridSpan w:val="2"/>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191,169</w:t>
            </w:r>
          </w:p>
        </w:tc>
        <w:tc>
          <w:tcPr>
            <w:tcW w:w="60" w:type="dxa"/>
            <w:vAlign w:val="bottom"/>
            <w:shd w:val="clear" w:color="auto" w:fill="BAD8EB"/>
          </w:tcPr>
          <w:p>
            <w:pPr>
              <w:spacing w:after="0"/>
              <w:rPr>
                <w:sz w:val="19"/>
                <w:szCs w:val="19"/>
                <w:color w:val="auto"/>
              </w:rPr>
            </w:pPr>
          </w:p>
        </w:tc>
        <w:tc>
          <w:tcPr>
            <w:tcW w:w="1380" w:type="dxa"/>
            <w:vAlign w:val="bottom"/>
            <w:shd w:val="clear" w:color="auto" w:fill="BAD8EB"/>
          </w:tcPr>
          <w:p>
            <w:pPr>
              <w:jc w:val="right"/>
              <w:ind w:right="321"/>
              <w:spacing w:after="0"/>
              <w:rPr>
                <w:sz w:val="20"/>
                <w:szCs w:val="20"/>
                <w:color w:val="auto"/>
              </w:rPr>
            </w:pPr>
            <w:r>
              <w:rPr>
                <w:rFonts w:ascii="Times New Roman" w:cs="Times New Roman" w:eastAsia="Times New Roman" w:hAnsi="Times New Roman"/>
                <w:sz w:val="16"/>
                <w:szCs w:val="16"/>
                <w:color w:val="auto"/>
              </w:rPr>
              <w:t>225,929</w:t>
            </w:r>
          </w:p>
        </w:tc>
        <w:tc>
          <w:tcPr>
            <w:tcW w:w="60" w:type="dxa"/>
            <w:vAlign w:val="bottom"/>
            <w:shd w:val="clear" w:color="auto" w:fill="BAD8EB"/>
          </w:tcPr>
          <w:p>
            <w:pPr>
              <w:spacing w:after="0"/>
              <w:rPr>
                <w:sz w:val="19"/>
                <w:szCs w:val="19"/>
                <w:color w:val="auto"/>
              </w:rPr>
            </w:pPr>
          </w:p>
        </w:tc>
        <w:tc>
          <w:tcPr>
            <w:tcW w:w="140" w:type="dxa"/>
            <w:vAlign w:val="bottom"/>
            <w:shd w:val="clear" w:color="auto" w:fill="BAD8EB"/>
          </w:tcPr>
          <w:p>
            <w:pPr>
              <w:spacing w:after="0"/>
              <w:rPr>
                <w:sz w:val="19"/>
                <w:szCs w:val="19"/>
                <w:color w:val="auto"/>
              </w:rPr>
            </w:pPr>
          </w:p>
        </w:tc>
        <w:tc>
          <w:tcPr>
            <w:tcW w:w="940" w:type="dxa"/>
            <w:vAlign w:val="bottom"/>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25.75</w:t>
            </w:r>
          </w:p>
        </w:tc>
        <w:tc>
          <w:tcPr>
            <w:tcW w:w="80" w:type="dxa"/>
            <w:vAlign w:val="bottom"/>
            <w:shd w:val="clear" w:color="auto" w:fill="BAD8EB"/>
          </w:tcPr>
          <w:p>
            <w:pPr>
              <w:spacing w:after="0"/>
              <w:rPr>
                <w:sz w:val="19"/>
                <w:szCs w:val="19"/>
                <w:color w:val="auto"/>
              </w:rPr>
            </w:pPr>
          </w:p>
        </w:tc>
        <w:tc>
          <w:tcPr>
            <w:tcW w:w="88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2/28/2034</w:t>
            </w:r>
          </w:p>
        </w:tc>
        <w:tc>
          <w:tcPr>
            <w:tcW w:w="120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42"/>
        </w:trPr>
        <w:tc>
          <w:tcPr>
            <w:tcW w:w="360" w:type="dxa"/>
            <w:vAlign w:val="bottom"/>
            <w:tcBorders>
              <w:bottom w:val="single" w:sz="8" w:color="BAD8EB"/>
            </w:tcBorders>
            <w:shd w:val="clear" w:color="auto" w:fill="BAD8EB"/>
          </w:tcPr>
          <w:p>
            <w:pPr>
              <w:spacing w:after="0"/>
              <w:rPr>
                <w:sz w:val="21"/>
                <w:szCs w:val="21"/>
                <w:color w:val="auto"/>
              </w:rPr>
            </w:pPr>
          </w:p>
        </w:tc>
        <w:tc>
          <w:tcPr>
            <w:tcW w:w="580" w:type="dxa"/>
            <w:vAlign w:val="bottom"/>
            <w:tcBorders>
              <w:bottom w:val="single" w:sz="8" w:color="BAD8EB"/>
            </w:tcBorders>
            <w:shd w:val="clear" w:color="auto" w:fill="BAD8EB"/>
          </w:tcPr>
          <w:p>
            <w:pPr>
              <w:spacing w:after="0"/>
              <w:rPr>
                <w:sz w:val="21"/>
                <w:szCs w:val="21"/>
                <w:color w:val="auto"/>
              </w:rPr>
            </w:pPr>
          </w:p>
        </w:tc>
        <w:tc>
          <w:tcPr>
            <w:tcW w:w="60" w:type="dxa"/>
            <w:vAlign w:val="bottom"/>
            <w:tcBorders>
              <w:bottom w:val="single" w:sz="8" w:color="BAD8EB"/>
            </w:tcBorders>
            <w:shd w:val="clear" w:color="auto" w:fill="BAD8EB"/>
          </w:tcPr>
          <w:p>
            <w:pPr>
              <w:spacing w:after="0"/>
              <w:rPr>
                <w:sz w:val="21"/>
                <w:szCs w:val="21"/>
                <w:color w:val="auto"/>
              </w:rPr>
            </w:pPr>
          </w:p>
        </w:tc>
        <w:tc>
          <w:tcPr>
            <w:tcW w:w="80" w:type="dxa"/>
            <w:vAlign w:val="bottom"/>
            <w:tcBorders>
              <w:bottom w:val="single" w:sz="8" w:color="BAD8EB"/>
            </w:tcBorders>
            <w:shd w:val="clear" w:color="auto" w:fill="BAD8EB"/>
          </w:tcPr>
          <w:p>
            <w:pPr>
              <w:spacing w:after="0"/>
              <w:rPr>
                <w:sz w:val="21"/>
                <w:szCs w:val="21"/>
                <w:color w:val="auto"/>
              </w:rPr>
            </w:pPr>
          </w:p>
        </w:tc>
        <w:tc>
          <w:tcPr>
            <w:tcW w:w="760" w:type="dxa"/>
            <w:vAlign w:val="bottom"/>
            <w:tcBorders>
              <w:bottom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2/28/2025</w:t>
            </w:r>
          </w:p>
        </w:tc>
        <w:tc>
          <w:tcPr>
            <w:tcW w:w="240" w:type="dxa"/>
            <w:vAlign w:val="bottom"/>
            <w:tcBorders>
              <w:bottom w:val="single" w:sz="8" w:color="BAD8EB"/>
            </w:tcBorders>
            <w:shd w:val="clear" w:color="auto" w:fill="BAD8EB"/>
          </w:tcPr>
          <w:p>
            <w:pPr>
              <w:spacing w:after="0"/>
              <w:rPr>
                <w:sz w:val="20"/>
                <w:szCs w:val="20"/>
                <w:color w:val="auto"/>
              </w:rPr>
            </w:pPr>
            <w:r>
              <w:rPr>
                <w:rFonts w:ascii="Times New Roman" w:cs="Times New Roman" w:eastAsia="Times New Roman" w:hAnsi="Times New Roman"/>
                <w:sz w:val="12"/>
                <w:szCs w:val="12"/>
                <w:color w:val="auto"/>
              </w:rPr>
              <w:t>(12)</w:t>
            </w:r>
          </w:p>
        </w:tc>
        <w:tc>
          <w:tcPr>
            <w:tcW w:w="1340" w:type="dxa"/>
            <w:vAlign w:val="bottom"/>
            <w:tcBorders>
              <w:bottom w:val="single" w:sz="8" w:color="BAD8EB"/>
            </w:tcBorders>
            <w:gridSpan w:val="2"/>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49,922</w:t>
            </w:r>
          </w:p>
        </w:tc>
        <w:tc>
          <w:tcPr>
            <w:tcW w:w="60" w:type="dxa"/>
            <w:vAlign w:val="bottom"/>
            <w:tcBorders>
              <w:bottom w:val="single" w:sz="8" w:color="BAD8EB"/>
            </w:tcBorders>
            <w:shd w:val="clear" w:color="auto" w:fill="BAD8EB"/>
          </w:tcPr>
          <w:p>
            <w:pPr>
              <w:spacing w:after="0"/>
              <w:rPr>
                <w:sz w:val="21"/>
                <w:szCs w:val="21"/>
                <w:color w:val="auto"/>
              </w:rPr>
            </w:pPr>
          </w:p>
        </w:tc>
        <w:tc>
          <w:tcPr>
            <w:tcW w:w="1380" w:type="dxa"/>
            <w:vAlign w:val="bottom"/>
            <w:tcBorders>
              <w:bottom w:val="single" w:sz="8" w:color="BAD8EB"/>
            </w:tcBorders>
            <w:shd w:val="clear" w:color="auto" w:fill="BAD8EB"/>
          </w:tcPr>
          <w:p>
            <w:pPr>
              <w:jc w:val="right"/>
              <w:ind w:right="321"/>
              <w:spacing w:after="0"/>
              <w:rPr>
                <w:sz w:val="20"/>
                <w:szCs w:val="20"/>
                <w:color w:val="auto"/>
              </w:rPr>
            </w:pPr>
            <w:r>
              <w:rPr>
                <w:rFonts w:ascii="Times New Roman" w:cs="Times New Roman" w:eastAsia="Times New Roman" w:hAnsi="Times New Roman"/>
                <w:sz w:val="16"/>
                <w:szCs w:val="16"/>
                <w:color w:val="auto"/>
              </w:rPr>
              <w:t>189,706</w:t>
            </w:r>
          </w:p>
        </w:tc>
        <w:tc>
          <w:tcPr>
            <w:tcW w:w="60" w:type="dxa"/>
            <w:vAlign w:val="bottom"/>
            <w:tcBorders>
              <w:bottom w:val="single" w:sz="8" w:color="BAD8EB"/>
            </w:tcBorders>
            <w:shd w:val="clear" w:color="auto" w:fill="BAD8EB"/>
          </w:tcPr>
          <w:p>
            <w:pPr>
              <w:spacing w:after="0"/>
              <w:rPr>
                <w:sz w:val="21"/>
                <w:szCs w:val="21"/>
                <w:color w:val="auto"/>
              </w:rPr>
            </w:pPr>
          </w:p>
        </w:tc>
        <w:tc>
          <w:tcPr>
            <w:tcW w:w="140" w:type="dxa"/>
            <w:vAlign w:val="bottom"/>
            <w:tcBorders>
              <w:bottom w:val="single" w:sz="8" w:color="BAD8EB"/>
            </w:tcBorders>
            <w:shd w:val="clear" w:color="auto" w:fill="BAD8EB"/>
          </w:tcPr>
          <w:p>
            <w:pPr>
              <w:spacing w:after="0"/>
              <w:rPr>
                <w:sz w:val="21"/>
                <w:szCs w:val="21"/>
                <w:color w:val="auto"/>
              </w:rPr>
            </w:pPr>
          </w:p>
        </w:tc>
        <w:tc>
          <w:tcPr>
            <w:tcW w:w="940" w:type="dxa"/>
            <w:vAlign w:val="bottom"/>
            <w:tcBorders>
              <w:bottom w:val="single" w:sz="8" w:color="BAD8EB"/>
            </w:tcBorders>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Borders>
              <w:bottom w:val="single" w:sz="8" w:color="BAD8EB"/>
            </w:tcBorders>
            <w:shd w:val="clear" w:color="auto" w:fill="BAD8EB"/>
          </w:tcPr>
          <w:p>
            <w:pPr>
              <w:spacing w:after="0"/>
              <w:rPr>
                <w:sz w:val="21"/>
                <w:szCs w:val="21"/>
                <w:color w:val="auto"/>
              </w:rPr>
            </w:pPr>
          </w:p>
        </w:tc>
        <w:tc>
          <w:tcPr>
            <w:tcW w:w="880" w:type="dxa"/>
            <w:vAlign w:val="bottom"/>
            <w:tcBorders>
              <w:bottom w:val="single" w:sz="8" w:color="BAD8EB"/>
            </w:tcBorders>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2/27/2035</w:t>
            </w:r>
          </w:p>
        </w:tc>
        <w:tc>
          <w:tcPr>
            <w:tcW w:w="1200" w:type="dxa"/>
            <w:vAlign w:val="bottom"/>
            <w:tcBorders>
              <w:bottom w:val="single" w:sz="8" w:color="BAD8EB"/>
            </w:tcBorders>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Borders>
              <w:bottom w:val="single" w:sz="8" w:color="BAD8EB"/>
            </w:tcBorders>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Borders>
              <w:bottom w:val="single" w:sz="8" w:color="BAD8EB"/>
            </w:tcBorders>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Borders>
              <w:bottom w:val="single" w:sz="8" w:color="BAD8EB"/>
            </w:tcBorders>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Sanjay Datta</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12/28/2016</w:t>
            </w:r>
          </w:p>
        </w:tc>
        <w:tc>
          <w:tcPr>
            <w:tcW w:w="240" w:type="dxa"/>
            <w:vAlign w:val="bottom"/>
          </w:tcPr>
          <w:p>
            <w:pPr>
              <w:spacing w:after="0"/>
              <w:rPr>
                <w:sz w:val="18"/>
                <w:szCs w:val="18"/>
                <w:color w:val="auto"/>
              </w:rPr>
            </w:pP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621,346</w:t>
            </w:r>
          </w:p>
        </w:tc>
        <w:tc>
          <w:tcPr>
            <w:tcW w:w="60" w:type="dxa"/>
            <w:vAlign w:val="bottom"/>
          </w:tcPr>
          <w:p>
            <w:pPr>
              <w:spacing w:after="0"/>
              <w:rPr>
                <w:sz w:val="18"/>
                <w:szCs w:val="18"/>
                <w:color w:val="auto"/>
              </w:rPr>
            </w:pPr>
          </w:p>
        </w:tc>
        <w:tc>
          <w:tcPr>
            <w:tcW w:w="15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12/28/2026</w:t>
            </w: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12/18/2017</w:t>
            </w: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18"/>
                <w:szCs w:val="18"/>
                <w:color w:val="auto"/>
              </w:rPr>
            </w:pPr>
          </w:p>
        </w:tc>
        <w:tc>
          <w:tcPr>
            <w:tcW w:w="15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12/18/2027</w:t>
            </w: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3/29/2019</w:t>
            </w: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tcPr>
          <w:p>
            <w:pPr>
              <w:spacing w:after="0"/>
              <w:rPr>
                <w:sz w:val="19"/>
                <w:szCs w:val="19"/>
                <w:color w:val="auto"/>
              </w:rPr>
            </w:pPr>
          </w:p>
        </w:tc>
        <w:tc>
          <w:tcPr>
            <w:tcW w:w="15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03/29/2029</w:t>
            </w: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1/31/2020</w:t>
            </w: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200,000</w:t>
            </w:r>
          </w:p>
        </w:tc>
        <w:tc>
          <w:tcPr>
            <w:tcW w:w="60" w:type="dxa"/>
            <w:vAlign w:val="bottom"/>
          </w:tcPr>
          <w:p>
            <w:pPr>
              <w:spacing w:after="0"/>
              <w:rPr>
                <w:sz w:val="19"/>
                <w:szCs w:val="19"/>
                <w:color w:val="auto"/>
              </w:rPr>
            </w:pPr>
          </w:p>
        </w:tc>
        <w:tc>
          <w:tcPr>
            <w:tcW w:w="15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8.88</w:t>
            </w: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01/31/2030</w:t>
            </w: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3/20/2021</w:t>
            </w: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50,824</w:t>
            </w:r>
          </w:p>
        </w:tc>
        <w:tc>
          <w:tcPr>
            <w:tcW w:w="60" w:type="dxa"/>
            <w:vAlign w:val="bottom"/>
          </w:tcPr>
          <w:p>
            <w:pPr>
              <w:spacing w:after="0"/>
              <w:rPr>
                <w:sz w:val="19"/>
                <w:szCs w:val="19"/>
                <w:color w:val="auto"/>
              </w:rPr>
            </w:pPr>
          </w:p>
        </w:tc>
        <w:tc>
          <w:tcPr>
            <w:tcW w:w="15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125.28</w:t>
            </w: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03/20/2031</w:t>
            </w: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2/20/2022</w:t>
            </w: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57,027</w:t>
            </w:r>
          </w:p>
        </w:tc>
        <w:tc>
          <w:tcPr>
            <w:tcW w:w="60" w:type="dxa"/>
            <w:vAlign w:val="bottom"/>
          </w:tcPr>
          <w:p>
            <w:pPr>
              <w:spacing w:after="0"/>
              <w:rPr>
                <w:sz w:val="19"/>
                <w:szCs w:val="19"/>
                <w:color w:val="auto"/>
              </w:rPr>
            </w:pPr>
          </w:p>
        </w:tc>
        <w:tc>
          <w:tcPr>
            <w:tcW w:w="15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130.05</w:t>
            </w: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02/20/2032</w:t>
            </w: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48"/>
        </w:trPr>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gridSpan w:val="4"/>
          </w:tcPr>
          <w:p>
            <w:pPr>
              <w:jc w:val="right"/>
              <w:ind w:right="39"/>
              <w:spacing w:after="0" w:line="248" w:lineRule="exact"/>
              <w:rPr>
                <w:sz w:val="20"/>
                <w:szCs w:val="20"/>
                <w:color w:val="auto"/>
              </w:rPr>
            </w:pPr>
            <w:r>
              <w:rPr>
                <w:rFonts w:ascii="Times New Roman" w:cs="Times New Roman" w:eastAsia="Times New Roman" w:hAnsi="Times New Roman"/>
                <w:sz w:val="16"/>
                <w:szCs w:val="16"/>
                <w:color w:val="auto"/>
              </w:rPr>
              <w:t>3/17/2023</w:t>
            </w:r>
            <w:r>
              <w:rPr>
                <w:rFonts w:ascii="Times New Roman" w:cs="Times New Roman" w:eastAsia="Times New Roman" w:hAnsi="Times New Roman"/>
                <w:sz w:val="24"/>
                <w:szCs w:val="24"/>
                <w:color w:val="auto"/>
                <w:vertAlign w:val="superscript"/>
              </w:rPr>
              <w:t>(6)</w:t>
            </w: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225,558</w:t>
            </w:r>
          </w:p>
        </w:tc>
        <w:tc>
          <w:tcPr>
            <w:tcW w:w="60" w:type="dxa"/>
            <w:vAlign w:val="bottom"/>
          </w:tcPr>
          <w:p>
            <w:pPr>
              <w:spacing w:after="0"/>
              <w:rPr>
                <w:sz w:val="21"/>
                <w:szCs w:val="21"/>
                <w:color w:val="auto"/>
              </w:rPr>
            </w:pP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92,878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15.23</w:t>
            </w:r>
          </w:p>
        </w:tc>
        <w:tc>
          <w:tcPr>
            <w:tcW w:w="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03/17/2033</w:t>
            </w: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4"/>
          </w:tcPr>
          <w:p>
            <w:pPr>
              <w:jc w:val="right"/>
              <w:ind w:right="39"/>
              <w:spacing w:after="0" w:line="229" w:lineRule="exact"/>
              <w:rPr>
                <w:sz w:val="20"/>
                <w:szCs w:val="20"/>
                <w:color w:val="auto"/>
              </w:rPr>
            </w:pPr>
            <w:r>
              <w:rPr>
                <w:rFonts w:ascii="Times New Roman" w:cs="Times New Roman" w:eastAsia="Times New Roman" w:hAnsi="Times New Roman"/>
                <w:sz w:val="16"/>
                <w:szCs w:val="16"/>
                <w:color w:val="auto"/>
              </w:rPr>
              <w:t>3/17/2023</w:t>
            </w:r>
            <w:r>
              <w:rPr>
                <w:rFonts w:ascii="Times New Roman" w:cs="Times New Roman" w:eastAsia="Times New Roman" w:hAnsi="Times New Roman"/>
                <w:sz w:val="24"/>
                <w:szCs w:val="24"/>
                <w:color w:val="auto"/>
                <w:vertAlign w:val="superscript"/>
              </w:rPr>
              <w:t>(7)</w:t>
            </w:r>
          </w:p>
        </w:tc>
        <w:tc>
          <w:tcPr>
            <w:tcW w:w="60" w:type="dxa"/>
            <w:vAlign w:val="bottom"/>
          </w:tcPr>
          <w:p>
            <w:pPr>
              <w:spacing w:after="0"/>
              <w:rPr>
                <w:sz w:val="19"/>
                <w:szCs w:val="19"/>
                <w:color w:val="auto"/>
              </w:rPr>
            </w:pP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52,375</w:t>
            </w:r>
          </w:p>
        </w:tc>
        <w:tc>
          <w:tcPr>
            <w:tcW w:w="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2,290,358.75</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4"/>
          </w:tcPr>
          <w:p>
            <w:pPr>
              <w:jc w:val="right"/>
              <w:ind w:right="39"/>
              <w:spacing w:after="0" w:line="229" w:lineRule="exact"/>
              <w:rPr>
                <w:sz w:val="20"/>
                <w:szCs w:val="20"/>
                <w:color w:val="auto"/>
              </w:rPr>
            </w:pPr>
            <w:r>
              <w:rPr>
                <w:rFonts w:ascii="Times New Roman" w:cs="Times New Roman" w:eastAsia="Times New Roman" w:hAnsi="Times New Roman"/>
                <w:sz w:val="16"/>
                <w:szCs w:val="16"/>
                <w:color w:val="auto"/>
              </w:rPr>
              <w:t>2/29/2024</w:t>
            </w:r>
            <w:r>
              <w:rPr>
                <w:rFonts w:ascii="Times New Roman" w:cs="Times New Roman" w:eastAsia="Times New Roman" w:hAnsi="Times New Roman"/>
                <w:sz w:val="24"/>
                <w:szCs w:val="24"/>
                <w:color w:val="auto"/>
                <w:vertAlign w:val="superscript"/>
              </w:rPr>
              <w:t>(8)</w:t>
            </w: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53,295</w:t>
            </w:r>
          </w:p>
        </w:tc>
        <w:tc>
          <w:tcPr>
            <w:tcW w:w="60" w:type="dxa"/>
            <w:vAlign w:val="bottom"/>
          </w:tcPr>
          <w:p>
            <w:pPr>
              <w:spacing w:after="0"/>
              <w:rPr>
                <w:sz w:val="19"/>
                <w:szCs w:val="19"/>
                <w:color w:val="auto"/>
              </w:rPr>
            </w:pP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62,986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25.75</w:t>
            </w: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02/28/2034</w:t>
            </w: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4"/>
          </w:tcPr>
          <w:p>
            <w:pPr>
              <w:jc w:val="right"/>
              <w:ind w:right="39"/>
              <w:spacing w:after="0" w:line="229" w:lineRule="exact"/>
              <w:rPr>
                <w:sz w:val="20"/>
                <w:szCs w:val="20"/>
                <w:color w:val="auto"/>
              </w:rPr>
            </w:pPr>
            <w:r>
              <w:rPr>
                <w:rFonts w:ascii="Times New Roman" w:cs="Times New Roman" w:eastAsia="Times New Roman" w:hAnsi="Times New Roman"/>
                <w:sz w:val="16"/>
                <w:szCs w:val="16"/>
                <w:color w:val="auto"/>
              </w:rPr>
              <w:t>2/29/2024</w:t>
            </w:r>
            <w:r>
              <w:rPr>
                <w:rFonts w:ascii="Times New Roman" w:cs="Times New Roman" w:eastAsia="Times New Roman" w:hAnsi="Times New Roman"/>
                <w:sz w:val="24"/>
                <w:szCs w:val="24"/>
                <w:color w:val="auto"/>
                <w:vertAlign w:val="superscript"/>
              </w:rPr>
              <w:t>(9)</w:t>
            </w:r>
          </w:p>
        </w:tc>
        <w:tc>
          <w:tcPr>
            <w:tcW w:w="60" w:type="dxa"/>
            <w:vAlign w:val="bottom"/>
          </w:tcPr>
          <w:p>
            <w:pPr>
              <w:spacing w:after="0"/>
              <w:rPr>
                <w:sz w:val="19"/>
                <w:szCs w:val="19"/>
                <w:color w:val="auto"/>
              </w:rPr>
            </w:pP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34,426</w:t>
            </w:r>
          </w:p>
        </w:tc>
        <w:tc>
          <w:tcPr>
            <w:tcW w:w="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1,505,448.98</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16"/>
                <w:szCs w:val="16"/>
                <w:color w:val="auto"/>
              </w:rPr>
              <w:t>2/28/2025</w:t>
            </w:r>
            <w:r>
              <w:rPr>
                <w:rFonts w:ascii="Times New Roman" w:cs="Times New Roman" w:eastAsia="Times New Roman" w:hAnsi="Times New Roman"/>
                <w:sz w:val="24"/>
                <w:szCs w:val="24"/>
                <w:color w:val="auto"/>
                <w:vertAlign w:val="superscript"/>
              </w:rPr>
              <w:t>(12)</w:t>
            </w: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11,609</w:t>
            </w:r>
          </w:p>
        </w:tc>
        <w:tc>
          <w:tcPr>
            <w:tcW w:w="60" w:type="dxa"/>
            <w:vAlign w:val="bottom"/>
          </w:tcPr>
          <w:p>
            <w:pPr>
              <w:spacing w:after="0"/>
              <w:rPr>
                <w:sz w:val="19"/>
                <w:szCs w:val="19"/>
                <w:color w:val="auto"/>
              </w:rPr>
            </w:pP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44,119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02/27/2035</w:t>
            </w: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16"/>
                <w:szCs w:val="16"/>
                <w:color w:val="auto"/>
              </w:rPr>
              <w:t>2/28/2025</w:t>
            </w:r>
            <w:r>
              <w:rPr>
                <w:rFonts w:ascii="Times New Roman" w:cs="Times New Roman" w:eastAsia="Times New Roman" w:hAnsi="Times New Roman"/>
                <w:sz w:val="24"/>
                <w:szCs w:val="24"/>
                <w:color w:val="auto"/>
                <w:vertAlign w:val="superscript"/>
              </w:rPr>
              <w:t>(13)</w:t>
            </w:r>
          </w:p>
        </w:tc>
        <w:tc>
          <w:tcPr>
            <w:tcW w:w="60" w:type="dxa"/>
            <w:vAlign w:val="bottom"/>
          </w:tcPr>
          <w:p>
            <w:pPr>
              <w:spacing w:after="0"/>
              <w:rPr>
                <w:sz w:val="21"/>
                <w:szCs w:val="21"/>
                <w:color w:val="auto"/>
              </w:rPr>
            </w:pP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23,832</w:t>
            </w:r>
          </w:p>
        </w:tc>
        <w:tc>
          <w:tcPr>
            <w:tcW w:w="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1,042,173.36</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10"/>
        </w:trPr>
        <w:tc>
          <w:tcPr>
            <w:tcW w:w="94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6"/>
                <w:szCs w:val="16"/>
                <w:color w:val="auto"/>
              </w:rPr>
              <w:t>Paul Gu</w:t>
            </w:r>
          </w:p>
        </w:tc>
        <w:tc>
          <w:tcPr>
            <w:tcW w:w="1140" w:type="dxa"/>
            <w:vAlign w:val="bottom"/>
            <w:gridSpan w:val="4"/>
            <w:shd w:val="clear" w:color="auto" w:fill="BAD8EB"/>
          </w:tcPr>
          <w:p>
            <w:pPr>
              <w:jc w:val="right"/>
              <w:ind w:right="179"/>
              <w:spacing w:after="0"/>
              <w:rPr>
                <w:sz w:val="20"/>
                <w:szCs w:val="20"/>
                <w:color w:val="auto"/>
              </w:rPr>
            </w:pPr>
            <w:r>
              <w:rPr>
                <w:rFonts w:ascii="Times New Roman" w:cs="Times New Roman" w:eastAsia="Times New Roman" w:hAnsi="Times New Roman"/>
                <w:sz w:val="16"/>
                <w:szCs w:val="16"/>
                <w:color w:val="auto"/>
              </w:rPr>
              <w:t>03/29/2019</w:t>
            </w:r>
          </w:p>
        </w:tc>
        <w:tc>
          <w:tcPr>
            <w:tcW w:w="1340" w:type="dxa"/>
            <w:vAlign w:val="bottom"/>
            <w:gridSpan w:val="2"/>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42,500</w:t>
            </w:r>
          </w:p>
        </w:tc>
        <w:tc>
          <w:tcPr>
            <w:tcW w:w="60" w:type="dxa"/>
            <w:vAlign w:val="bottom"/>
            <w:shd w:val="clear" w:color="auto" w:fill="BAD8EB"/>
          </w:tcPr>
          <w:p>
            <w:pPr>
              <w:spacing w:after="0"/>
              <w:rPr>
                <w:sz w:val="18"/>
                <w:szCs w:val="18"/>
                <w:color w:val="auto"/>
              </w:rPr>
            </w:pPr>
          </w:p>
        </w:tc>
        <w:tc>
          <w:tcPr>
            <w:tcW w:w="1580" w:type="dxa"/>
            <w:vAlign w:val="bottom"/>
            <w:gridSpan w:val="3"/>
            <w:shd w:val="clear" w:color="auto" w:fill="BAD8EB"/>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shd w:val="clear" w:color="auto" w:fill="BAD8EB"/>
          </w:tcPr>
          <w:p>
            <w:pPr>
              <w:spacing w:after="0"/>
              <w:rPr>
                <w:sz w:val="18"/>
                <w:szCs w:val="18"/>
                <w:color w:val="auto"/>
              </w:rPr>
            </w:pPr>
          </w:p>
        </w:tc>
        <w:tc>
          <w:tcPr>
            <w:tcW w:w="88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03/29/2029</w:t>
            </w:r>
          </w:p>
        </w:tc>
        <w:tc>
          <w:tcPr>
            <w:tcW w:w="120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16"/>
        </w:trPr>
        <w:tc>
          <w:tcPr>
            <w:tcW w:w="360" w:type="dxa"/>
            <w:vAlign w:val="bottom"/>
            <w:shd w:val="clear" w:color="auto" w:fill="BAD8EB"/>
          </w:tcPr>
          <w:p>
            <w:pPr>
              <w:spacing w:after="0"/>
              <w:rPr>
                <w:sz w:val="18"/>
                <w:szCs w:val="18"/>
                <w:color w:val="auto"/>
              </w:rPr>
            </w:pPr>
          </w:p>
        </w:tc>
        <w:tc>
          <w:tcPr>
            <w:tcW w:w="580" w:type="dxa"/>
            <w:vAlign w:val="bottom"/>
            <w:shd w:val="clear" w:color="auto" w:fill="BAD8EB"/>
          </w:tcPr>
          <w:p>
            <w:pPr>
              <w:spacing w:after="0"/>
              <w:rPr>
                <w:sz w:val="18"/>
                <w:szCs w:val="18"/>
                <w:color w:val="auto"/>
              </w:rPr>
            </w:pPr>
          </w:p>
        </w:tc>
        <w:tc>
          <w:tcPr>
            <w:tcW w:w="60" w:type="dxa"/>
            <w:vAlign w:val="bottom"/>
            <w:shd w:val="clear" w:color="auto" w:fill="BAD8EB"/>
          </w:tcPr>
          <w:p>
            <w:pPr>
              <w:spacing w:after="0"/>
              <w:rPr>
                <w:sz w:val="18"/>
                <w:szCs w:val="18"/>
                <w:color w:val="auto"/>
              </w:rPr>
            </w:pPr>
          </w:p>
        </w:tc>
        <w:tc>
          <w:tcPr>
            <w:tcW w:w="1080" w:type="dxa"/>
            <w:vAlign w:val="bottom"/>
            <w:gridSpan w:val="3"/>
            <w:shd w:val="clear" w:color="auto" w:fill="BAD8EB"/>
          </w:tcPr>
          <w:p>
            <w:pPr>
              <w:jc w:val="right"/>
              <w:ind w:right="179"/>
              <w:spacing w:after="0"/>
              <w:rPr>
                <w:sz w:val="20"/>
                <w:szCs w:val="20"/>
                <w:color w:val="auto"/>
              </w:rPr>
            </w:pPr>
            <w:r>
              <w:rPr>
                <w:rFonts w:ascii="Times New Roman" w:cs="Times New Roman" w:eastAsia="Times New Roman" w:hAnsi="Times New Roman"/>
                <w:sz w:val="16"/>
                <w:szCs w:val="16"/>
                <w:color w:val="auto"/>
              </w:rPr>
              <w:t>01/31/2020</w:t>
            </w:r>
          </w:p>
        </w:tc>
        <w:tc>
          <w:tcPr>
            <w:tcW w:w="1340" w:type="dxa"/>
            <w:vAlign w:val="bottom"/>
            <w:gridSpan w:val="2"/>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181,336</w:t>
            </w:r>
          </w:p>
        </w:tc>
        <w:tc>
          <w:tcPr>
            <w:tcW w:w="60" w:type="dxa"/>
            <w:vAlign w:val="bottom"/>
            <w:shd w:val="clear" w:color="auto" w:fill="BAD8EB"/>
          </w:tcPr>
          <w:p>
            <w:pPr>
              <w:spacing w:after="0"/>
              <w:rPr>
                <w:sz w:val="18"/>
                <w:szCs w:val="18"/>
                <w:color w:val="auto"/>
              </w:rPr>
            </w:pPr>
          </w:p>
        </w:tc>
        <w:tc>
          <w:tcPr>
            <w:tcW w:w="1580" w:type="dxa"/>
            <w:vAlign w:val="bottom"/>
            <w:gridSpan w:val="3"/>
            <w:shd w:val="clear" w:color="auto" w:fill="BAD8EB"/>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8.88</w:t>
            </w:r>
          </w:p>
        </w:tc>
        <w:tc>
          <w:tcPr>
            <w:tcW w:w="80" w:type="dxa"/>
            <w:vAlign w:val="bottom"/>
            <w:shd w:val="clear" w:color="auto" w:fill="BAD8EB"/>
          </w:tcPr>
          <w:p>
            <w:pPr>
              <w:spacing w:after="0"/>
              <w:rPr>
                <w:sz w:val="18"/>
                <w:szCs w:val="18"/>
                <w:color w:val="auto"/>
              </w:rPr>
            </w:pPr>
          </w:p>
        </w:tc>
        <w:tc>
          <w:tcPr>
            <w:tcW w:w="88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01/31/2030</w:t>
            </w:r>
          </w:p>
        </w:tc>
        <w:tc>
          <w:tcPr>
            <w:tcW w:w="120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0"/>
        </w:trPr>
        <w:tc>
          <w:tcPr>
            <w:tcW w:w="360" w:type="dxa"/>
            <w:vAlign w:val="bottom"/>
            <w:shd w:val="clear" w:color="auto" w:fill="BAD8EB"/>
          </w:tcPr>
          <w:p>
            <w:pPr>
              <w:spacing w:after="0"/>
              <w:rPr>
                <w:sz w:val="19"/>
                <w:szCs w:val="19"/>
                <w:color w:val="auto"/>
              </w:rPr>
            </w:pPr>
          </w:p>
        </w:tc>
        <w:tc>
          <w:tcPr>
            <w:tcW w:w="580" w:type="dxa"/>
            <w:vAlign w:val="bottom"/>
            <w:shd w:val="clear" w:color="auto" w:fill="BAD8EB"/>
          </w:tcPr>
          <w:p>
            <w:pPr>
              <w:spacing w:after="0"/>
              <w:rPr>
                <w:sz w:val="19"/>
                <w:szCs w:val="19"/>
                <w:color w:val="auto"/>
              </w:rPr>
            </w:pPr>
          </w:p>
        </w:tc>
        <w:tc>
          <w:tcPr>
            <w:tcW w:w="60" w:type="dxa"/>
            <w:vAlign w:val="bottom"/>
            <w:shd w:val="clear" w:color="auto" w:fill="BAD8EB"/>
          </w:tcPr>
          <w:p>
            <w:pPr>
              <w:spacing w:after="0"/>
              <w:rPr>
                <w:sz w:val="19"/>
                <w:szCs w:val="19"/>
                <w:color w:val="auto"/>
              </w:rPr>
            </w:pPr>
          </w:p>
        </w:tc>
        <w:tc>
          <w:tcPr>
            <w:tcW w:w="1080" w:type="dxa"/>
            <w:vAlign w:val="bottom"/>
            <w:gridSpan w:val="3"/>
            <w:shd w:val="clear" w:color="auto" w:fill="BAD8EB"/>
          </w:tcPr>
          <w:p>
            <w:pPr>
              <w:jc w:val="right"/>
              <w:ind w:right="179"/>
              <w:spacing w:after="0"/>
              <w:rPr>
                <w:sz w:val="20"/>
                <w:szCs w:val="20"/>
                <w:color w:val="auto"/>
              </w:rPr>
            </w:pPr>
            <w:r>
              <w:rPr>
                <w:rFonts w:ascii="Times New Roman" w:cs="Times New Roman" w:eastAsia="Times New Roman" w:hAnsi="Times New Roman"/>
                <w:sz w:val="16"/>
                <w:szCs w:val="16"/>
                <w:color w:val="auto"/>
              </w:rPr>
              <w:t>03/20/2021</w:t>
            </w:r>
          </w:p>
        </w:tc>
        <w:tc>
          <w:tcPr>
            <w:tcW w:w="1340" w:type="dxa"/>
            <w:vAlign w:val="bottom"/>
            <w:gridSpan w:val="2"/>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50,824</w:t>
            </w:r>
          </w:p>
        </w:tc>
        <w:tc>
          <w:tcPr>
            <w:tcW w:w="60" w:type="dxa"/>
            <w:vAlign w:val="bottom"/>
            <w:shd w:val="clear" w:color="auto" w:fill="BAD8EB"/>
          </w:tcPr>
          <w:p>
            <w:pPr>
              <w:spacing w:after="0"/>
              <w:rPr>
                <w:sz w:val="19"/>
                <w:szCs w:val="19"/>
                <w:color w:val="auto"/>
              </w:rPr>
            </w:pPr>
          </w:p>
        </w:tc>
        <w:tc>
          <w:tcPr>
            <w:tcW w:w="1580" w:type="dxa"/>
            <w:vAlign w:val="bottom"/>
            <w:gridSpan w:val="3"/>
            <w:shd w:val="clear" w:color="auto" w:fill="BAD8EB"/>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125.28</w:t>
            </w:r>
          </w:p>
        </w:tc>
        <w:tc>
          <w:tcPr>
            <w:tcW w:w="80" w:type="dxa"/>
            <w:vAlign w:val="bottom"/>
            <w:shd w:val="clear" w:color="auto" w:fill="BAD8EB"/>
          </w:tcPr>
          <w:p>
            <w:pPr>
              <w:spacing w:after="0"/>
              <w:rPr>
                <w:sz w:val="19"/>
                <w:szCs w:val="19"/>
                <w:color w:val="auto"/>
              </w:rPr>
            </w:pPr>
          </w:p>
        </w:tc>
        <w:tc>
          <w:tcPr>
            <w:tcW w:w="88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03/20/2031</w:t>
            </w:r>
          </w:p>
        </w:tc>
        <w:tc>
          <w:tcPr>
            <w:tcW w:w="120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63"/>
        </w:trPr>
        <w:tc>
          <w:tcPr>
            <w:tcW w:w="360" w:type="dxa"/>
            <w:vAlign w:val="bottom"/>
            <w:shd w:val="clear" w:color="auto" w:fill="BAD8EB"/>
          </w:tcPr>
          <w:p>
            <w:pPr>
              <w:spacing w:after="0"/>
              <w:rPr>
                <w:sz w:val="22"/>
                <w:szCs w:val="22"/>
                <w:color w:val="auto"/>
              </w:rPr>
            </w:pPr>
          </w:p>
        </w:tc>
        <w:tc>
          <w:tcPr>
            <w:tcW w:w="580" w:type="dxa"/>
            <w:vAlign w:val="bottom"/>
            <w:shd w:val="clear" w:color="auto" w:fill="BAD8EB"/>
          </w:tcPr>
          <w:p>
            <w:pPr>
              <w:spacing w:after="0"/>
              <w:rPr>
                <w:sz w:val="22"/>
                <w:szCs w:val="22"/>
                <w:color w:val="auto"/>
              </w:rPr>
            </w:pPr>
          </w:p>
        </w:tc>
        <w:tc>
          <w:tcPr>
            <w:tcW w:w="60" w:type="dxa"/>
            <w:vAlign w:val="bottom"/>
            <w:shd w:val="clear" w:color="auto" w:fill="BAD8EB"/>
          </w:tcPr>
          <w:p>
            <w:pPr>
              <w:spacing w:after="0"/>
              <w:rPr>
                <w:sz w:val="22"/>
                <w:szCs w:val="22"/>
                <w:color w:val="auto"/>
              </w:rPr>
            </w:pPr>
          </w:p>
        </w:tc>
        <w:tc>
          <w:tcPr>
            <w:tcW w:w="80" w:type="dxa"/>
            <w:vAlign w:val="bottom"/>
            <w:shd w:val="clear" w:color="auto" w:fill="BAD8EB"/>
          </w:tcPr>
          <w:p>
            <w:pPr>
              <w:spacing w:after="0"/>
              <w:rPr>
                <w:sz w:val="22"/>
                <w:szCs w:val="22"/>
                <w:color w:val="auto"/>
              </w:rPr>
            </w:pPr>
          </w:p>
        </w:tc>
        <w:tc>
          <w:tcPr>
            <w:tcW w:w="1000" w:type="dxa"/>
            <w:vAlign w:val="bottom"/>
            <w:gridSpan w:val="2"/>
            <w:shd w:val="clear" w:color="auto" w:fill="BAD8EB"/>
          </w:tcPr>
          <w:p>
            <w:pPr>
              <w:jc w:val="right"/>
              <w:ind w:right="39"/>
              <w:spacing w:after="0" w:line="263" w:lineRule="exact"/>
              <w:rPr>
                <w:sz w:val="20"/>
                <w:szCs w:val="20"/>
                <w:color w:val="auto"/>
              </w:rPr>
            </w:pPr>
            <w:r>
              <w:rPr>
                <w:rFonts w:ascii="Times New Roman" w:cs="Times New Roman" w:eastAsia="Times New Roman" w:hAnsi="Times New Roman"/>
                <w:sz w:val="16"/>
                <w:szCs w:val="16"/>
                <w:color w:val="auto"/>
                <w:w w:val="96"/>
              </w:rPr>
              <w:t>03/17/2023</w:t>
            </w:r>
            <w:r>
              <w:rPr>
                <w:rFonts w:ascii="Times New Roman" w:cs="Times New Roman" w:eastAsia="Times New Roman" w:hAnsi="Times New Roman"/>
                <w:sz w:val="24"/>
                <w:szCs w:val="24"/>
                <w:color w:val="auto"/>
                <w:w w:val="96"/>
                <w:vertAlign w:val="superscript"/>
              </w:rPr>
              <w:t>(6)</w:t>
            </w:r>
          </w:p>
        </w:tc>
        <w:tc>
          <w:tcPr>
            <w:tcW w:w="1340" w:type="dxa"/>
            <w:vAlign w:val="bottom"/>
            <w:gridSpan w:val="2"/>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192,454</w:t>
            </w:r>
          </w:p>
        </w:tc>
        <w:tc>
          <w:tcPr>
            <w:tcW w:w="60" w:type="dxa"/>
            <w:vAlign w:val="bottom"/>
            <w:shd w:val="clear" w:color="auto" w:fill="BAD8EB"/>
          </w:tcPr>
          <w:p>
            <w:pPr>
              <w:spacing w:after="0"/>
              <w:rPr>
                <w:sz w:val="22"/>
                <w:szCs w:val="22"/>
                <w:color w:val="auto"/>
              </w:rPr>
            </w:pPr>
          </w:p>
        </w:tc>
        <w:tc>
          <w:tcPr>
            <w:tcW w:w="1380" w:type="dxa"/>
            <w:vAlign w:val="bottom"/>
            <w:shd w:val="clear" w:color="auto" w:fill="BAD8EB"/>
          </w:tcPr>
          <w:p>
            <w:pPr>
              <w:jc w:val="right"/>
              <w:ind w:right="321"/>
              <w:spacing w:after="0"/>
              <w:rPr>
                <w:sz w:val="20"/>
                <w:szCs w:val="20"/>
                <w:color w:val="auto"/>
              </w:rPr>
            </w:pPr>
            <w:r>
              <w:rPr>
                <w:rFonts w:ascii="Times New Roman" w:cs="Times New Roman" w:eastAsia="Times New Roman" w:hAnsi="Times New Roman"/>
                <w:sz w:val="16"/>
                <w:szCs w:val="16"/>
                <w:color w:val="auto"/>
              </w:rPr>
              <w:t>92,878</w:t>
            </w:r>
          </w:p>
        </w:tc>
        <w:tc>
          <w:tcPr>
            <w:tcW w:w="60" w:type="dxa"/>
            <w:vAlign w:val="bottom"/>
            <w:shd w:val="clear" w:color="auto" w:fill="BAD8EB"/>
          </w:tcPr>
          <w:p>
            <w:pPr>
              <w:spacing w:after="0"/>
              <w:rPr>
                <w:sz w:val="22"/>
                <w:szCs w:val="22"/>
                <w:color w:val="auto"/>
              </w:rPr>
            </w:pPr>
          </w:p>
        </w:tc>
        <w:tc>
          <w:tcPr>
            <w:tcW w:w="140" w:type="dxa"/>
            <w:vAlign w:val="bottom"/>
            <w:shd w:val="clear" w:color="auto" w:fill="BAD8EB"/>
          </w:tcPr>
          <w:p>
            <w:pPr>
              <w:spacing w:after="0"/>
              <w:rPr>
                <w:sz w:val="22"/>
                <w:szCs w:val="22"/>
                <w:color w:val="auto"/>
              </w:rPr>
            </w:pPr>
          </w:p>
        </w:tc>
        <w:tc>
          <w:tcPr>
            <w:tcW w:w="940" w:type="dxa"/>
            <w:vAlign w:val="bottom"/>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15.23</w:t>
            </w:r>
          </w:p>
        </w:tc>
        <w:tc>
          <w:tcPr>
            <w:tcW w:w="80" w:type="dxa"/>
            <w:vAlign w:val="bottom"/>
            <w:shd w:val="clear" w:color="auto" w:fill="BAD8EB"/>
          </w:tcPr>
          <w:p>
            <w:pPr>
              <w:spacing w:after="0"/>
              <w:rPr>
                <w:sz w:val="22"/>
                <w:szCs w:val="22"/>
                <w:color w:val="auto"/>
              </w:rPr>
            </w:pPr>
          </w:p>
        </w:tc>
        <w:tc>
          <w:tcPr>
            <w:tcW w:w="88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03/17/2033</w:t>
            </w:r>
          </w:p>
        </w:tc>
        <w:tc>
          <w:tcPr>
            <w:tcW w:w="120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10"/>
        </w:trPr>
        <w:tc>
          <w:tcPr>
            <w:tcW w:w="360" w:type="dxa"/>
            <w:vAlign w:val="bottom"/>
            <w:shd w:val="clear" w:color="auto" w:fill="BAD8EB"/>
          </w:tcPr>
          <w:p>
            <w:pPr>
              <w:spacing w:after="0"/>
              <w:rPr>
                <w:sz w:val="18"/>
                <w:szCs w:val="18"/>
                <w:color w:val="auto"/>
              </w:rPr>
            </w:pPr>
          </w:p>
        </w:tc>
        <w:tc>
          <w:tcPr>
            <w:tcW w:w="580" w:type="dxa"/>
            <w:vAlign w:val="bottom"/>
            <w:shd w:val="clear" w:color="auto" w:fill="BAD8EB"/>
          </w:tcPr>
          <w:p>
            <w:pPr>
              <w:spacing w:after="0"/>
              <w:rPr>
                <w:sz w:val="18"/>
                <w:szCs w:val="18"/>
                <w:color w:val="auto"/>
              </w:rPr>
            </w:pPr>
          </w:p>
        </w:tc>
        <w:tc>
          <w:tcPr>
            <w:tcW w:w="60" w:type="dxa"/>
            <w:vAlign w:val="bottom"/>
            <w:shd w:val="clear" w:color="auto" w:fill="BAD8EB"/>
          </w:tcPr>
          <w:p>
            <w:pPr>
              <w:spacing w:after="0"/>
              <w:rPr>
                <w:sz w:val="18"/>
                <w:szCs w:val="18"/>
                <w:color w:val="auto"/>
              </w:rPr>
            </w:pPr>
          </w:p>
        </w:tc>
        <w:tc>
          <w:tcPr>
            <w:tcW w:w="80" w:type="dxa"/>
            <w:vAlign w:val="bottom"/>
            <w:shd w:val="clear" w:color="auto" w:fill="BAD8EB"/>
          </w:tcPr>
          <w:p>
            <w:pPr>
              <w:spacing w:after="0"/>
              <w:rPr>
                <w:sz w:val="18"/>
                <w:szCs w:val="18"/>
                <w:color w:val="auto"/>
              </w:rPr>
            </w:pPr>
          </w:p>
        </w:tc>
        <w:tc>
          <w:tcPr>
            <w:tcW w:w="76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3/17/2023</w:t>
            </w:r>
          </w:p>
        </w:tc>
        <w:tc>
          <w:tcPr>
            <w:tcW w:w="240" w:type="dxa"/>
            <w:vAlign w:val="bottom"/>
            <w:shd w:val="clear" w:color="auto" w:fill="BAD8EB"/>
          </w:tcPr>
          <w:p>
            <w:pPr>
              <w:spacing w:after="0"/>
              <w:rPr>
                <w:sz w:val="20"/>
                <w:szCs w:val="20"/>
                <w:color w:val="auto"/>
              </w:rPr>
            </w:pPr>
            <w:r>
              <w:rPr>
                <w:rFonts w:ascii="Times New Roman" w:cs="Times New Roman" w:eastAsia="Times New Roman" w:hAnsi="Times New Roman"/>
                <w:sz w:val="12"/>
                <w:szCs w:val="12"/>
                <w:color w:val="auto"/>
              </w:rPr>
              <w:t>(7)</w:t>
            </w:r>
          </w:p>
        </w:tc>
        <w:tc>
          <w:tcPr>
            <w:tcW w:w="60" w:type="dxa"/>
            <w:vAlign w:val="bottom"/>
            <w:shd w:val="clear" w:color="auto" w:fill="BAD8EB"/>
          </w:tcPr>
          <w:p>
            <w:pPr>
              <w:spacing w:after="0"/>
              <w:rPr>
                <w:sz w:val="18"/>
                <w:szCs w:val="18"/>
                <w:color w:val="auto"/>
              </w:rPr>
            </w:pPr>
          </w:p>
        </w:tc>
        <w:tc>
          <w:tcPr>
            <w:tcW w:w="1340" w:type="dxa"/>
            <w:vAlign w:val="bottom"/>
            <w:gridSpan w:val="2"/>
            <w:shd w:val="clear" w:color="auto" w:fill="BAD8EB"/>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3"/>
            <w:shd w:val="clear" w:color="auto" w:fill="BAD8EB"/>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shd w:val="clear" w:color="auto" w:fill="BAD8EB"/>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BAD8EB"/>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rPr>
              <w:t>52,375</w:t>
            </w:r>
          </w:p>
        </w:tc>
        <w:tc>
          <w:tcPr>
            <w:tcW w:w="60" w:type="dxa"/>
            <w:vAlign w:val="bottom"/>
            <w:shd w:val="clear" w:color="auto" w:fill="BAD8EB"/>
          </w:tcPr>
          <w:p>
            <w:pPr>
              <w:spacing w:after="0"/>
              <w:rPr>
                <w:sz w:val="18"/>
                <w:szCs w:val="18"/>
                <w:color w:val="auto"/>
              </w:rPr>
            </w:pPr>
          </w:p>
        </w:tc>
        <w:tc>
          <w:tcPr>
            <w:tcW w:w="100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2,290,358.75</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16"/>
        </w:trPr>
        <w:tc>
          <w:tcPr>
            <w:tcW w:w="360" w:type="dxa"/>
            <w:vAlign w:val="bottom"/>
            <w:shd w:val="clear" w:color="auto" w:fill="BAD8EB"/>
          </w:tcPr>
          <w:p>
            <w:pPr>
              <w:spacing w:after="0"/>
              <w:rPr>
                <w:sz w:val="18"/>
                <w:szCs w:val="18"/>
                <w:color w:val="auto"/>
              </w:rPr>
            </w:pPr>
          </w:p>
        </w:tc>
        <w:tc>
          <w:tcPr>
            <w:tcW w:w="580" w:type="dxa"/>
            <w:vAlign w:val="bottom"/>
            <w:shd w:val="clear" w:color="auto" w:fill="BAD8EB"/>
          </w:tcPr>
          <w:p>
            <w:pPr>
              <w:spacing w:after="0"/>
              <w:rPr>
                <w:sz w:val="18"/>
                <w:szCs w:val="18"/>
                <w:color w:val="auto"/>
              </w:rPr>
            </w:pPr>
          </w:p>
        </w:tc>
        <w:tc>
          <w:tcPr>
            <w:tcW w:w="60" w:type="dxa"/>
            <w:vAlign w:val="bottom"/>
            <w:shd w:val="clear" w:color="auto" w:fill="BAD8EB"/>
          </w:tcPr>
          <w:p>
            <w:pPr>
              <w:spacing w:after="0"/>
              <w:rPr>
                <w:sz w:val="18"/>
                <w:szCs w:val="18"/>
                <w:color w:val="auto"/>
              </w:rPr>
            </w:pPr>
          </w:p>
        </w:tc>
        <w:tc>
          <w:tcPr>
            <w:tcW w:w="80" w:type="dxa"/>
            <w:vAlign w:val="bottom"/>
            <w:shd w:val="clear" w:color="auto" w:fill="BAD8EB"/>
          </w:tcPr>
          <w:p>
            <w:pPr>
              <w:spacing w:after="0"/>
              <w:rPr>
                <w:sz w:val="18"/>
                <w:szCs w:val="18"/>
                <w:color w:val="auto"/>
              </w:rPr>
            </w:pPr>
          </w:p>
        </w:tc>
        <w:tc>
          <w:tcPr>
            <w:tcW w:w="76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2/29/2024</w:t>
            </w:r>
          </w:p>
        </w:tc>
        <w:tc>
          <w:tcPr>
            <w:tcW w:w="240" w:type="dxa"/>
            <w:vAlign w:val="bottom"/>
            <w:shd w:val="clear" w:color="auto" w:fill="BAD8EB"/>
          </w:tcPr>
          <w:p>
            <w:pPr>
              <w:spacing w:after="0"/>
              <w:rPr>
                <w:sz w:val="20"/>
                <w:szCs w:val="20"/>
                <w:color w:val="auto"/>
              </w:rPr>
            </w:pPr>
            <w:r>
              <w:rPr>
                <w:rFonts w:ascii="Times New Roman" w:cs="Times New Roman" w:eastAsia="Times New Roman" w:hAnsi="Times New Roman"/>
                <w:sz w:val="12"/>
                <w:szCs w:val="12"/>
                <w:color w:val="auto"/>
              </w:rPr>
              <w:t>(8)</w:t>
            </w:r>
          </w:p>
        </w:tc>
        <w:tc>
          <w:tcPr>
            <w:tcW w:w="1340" w:type="dxa"/>
            <w:vAlign w:val="bottom"/>
            <w:gridSpan w:val="2"/>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43,607</w:t>
            </w:r>
          </w:p>
        </w:tc>
        <w:tc>
          <w:tcPr>
            <w:tcW w:w="60" w:type="dxa"/>
            <w:vAlign w:val="bottom"/>
            <w:shd w:val="clear" w:color="auto" w:fill="BAD8EB"/>
          </w:tcPr>
          <w:p>
            <w:pPr>
              <w:spacing w:after="0"/>
              <w:rPr>
                <w:sz w:val="18"/>
                <w:szCs w:val="18"/>
                <w:color w:val="auto"/>
              </w:rPr>
            </w:pPr>
          </w:p>
        </w:tc>
        <w:tc>
          <w:tcPr>
            <w:tcW w:w="1380" w:type="dxa"/>
            <w:vAlign w:val="bottom"/>
            <w:shd w:val="clear" w:color="auto" w:fill="BAD8EB"/>
          </w:tcPr>
          <w:p>
            <w:pPr>
              <w:jc w:val="right"/>
              <w:ind w:right="321"/>
              <w:spacing w:after="0"/>
              <w:rPr>
                <w:sz w:val="20"/>
                <w:szCs w:val="20"/>
                <w:color w:val="auto"/>
              </w:rPr>
            </w:pPr>
            <w:r>
              <w:rPr>
                <w:rFonts w:ascii="Times New Roman" w:cs="Times New Roman" w:eastAsia="Times New Roman" w:hAnsi="Times New Roman"/>
                <w:sz w:val="16"/>
                <w:szCs w:val="16"/>
                <w:color w:val="auto"/>
              </w:rPr>
              <w:t>62,986</w:t>
            </w:r>
          </w:p>
        </w:tc>
        <w:tc>
          <w:tcPr>
            <w:tcW w:w="60" w:type="dxa"/>
            <w:vAlign w:val="bottom"/>
            <w:shd w:val="clear" w:color="auto" w:fill="BAD8EB"/>
          </w:tcPr>
          <w:p>
            <w:pPr>
              <w:spacing w:after="0"/>
              <w:rPr>
                <w:sz w:val="18"/>
                <w:szCs w:val="18"/>
                <w:color w:val="auto"/>
              </w:rPr>
            </w:pPr>
          </w:p>
        </w:tc>
        <w:tc>
          <w:tcPr>
            <w:tcW w:w="140" w:type="dxa"/>
            <w:vAlign w:val="bottom"/>
            <w:shd w:val="clear" w:color="auto" w:fill="BAD8EB"/>
          </w:tcPr>
          <w:p>
            <w:pPr>
              <w:spacing w:after="0"/>
              <w:rPr>
                <w:sz w:val="18"/>
                <w:szCs w:val="18"/>
                <w:color w:val="auto"/>
              </w:rPr>
            </w:pPr>
          </w:p>
        </w:tc>
        <w:tc>
          <w:tcPr>
            <w:tcW w:w="940" w:type="dxa"/>
            <w:vAlign w:val="bottom"/>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25.75</w:t>
            </w:r>
          </w:p>
        </w:tc>
        <w:tc>
          <w:tcPr>
            <w:tcW w:w="80" w:type="dxa"/>
            <w:vAlign w:val="bottom"/>
            <w:shd w:val="clear" w:color="auto" w:fill="BAD8EB"/>
          </w:tcPr>
          <w:p>
            <w:pPr>
              <w:spacing w:after="0"/>
              <w:rPr>
                <w:sz w:val="18"/>
                <w:szCs w:val="18"/>
                <w:color w:val="auto"/>
              </w:rPr>
            </w:pPr>
          </w:p>
        </w:tc>
        <w:tc>
          <w:tcPr>
            <w:tcW w:w="88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02/28/2034</w:t>
            </w:r>
          </w:p>
        </w:tc>
        <w:tc>
          <w:tcPr>
            <w:tcW w:w="120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0"/>
        </w:trPr>
        <w:tc>
          <w:tcPr>
            <w:tcW w:w="360" w:type="dxa"/>
            <w:vAlign w:val="bottom"/>
            <w:shd w:val="clear" w:color="auto" w:fill="BAD8EB"/>
          </w:tcPr>
          <w:p>
            <w:pPr>
              <w:spacing w:after="0"/>
              <w:rPr>
                <w:sz w:val="19"/>
                <w:szCs w:val="19"/>
                <w:color w:val="auto"/>
              </w:rPr>
            </w:pPr>
          </w:p>
        </w:tc>
        <w:tc>
          <w:tcPr>
            <w:tcW w:w="580" w:type="dxa"/>
            <w:vAlign w:val="bottom"/>
            <w:shd w:val="clear" w:color="auto" w:fill="BAD8EB"/>
          </w:tcPr>
          <w:p>
            <w:pPr>
              <w:spacing w:after="0"/>
              <w:rPr>
                <w:sz w:val="19"/>
                <w:szCs w:val="19"/>
                <w:color w:val="auto"/>
              </w:rPr>
            </w:pPr>
          </w:p>
        </w:tc>
        <w:tc>
          <w:tcPr>
            <w:tcW w:w="60" w:type="dxa"/>
            <w:vAlign w:val="bottom"/>
            <w:shd w:val="clear" w:color="auto" w:fill="BAD8EB"/>
          </w:tcPr>
          <w:p>
            <w:pPr>
              <w:spacing w:after="0"/>
              <w:rPr>
                <w:sz w:val="19"/>
                <w:szCs w:val="19"/>
                <w:color w:val="auto"/>
              </w:rPr>
            </w:pPr>
          </w:p>
        </w:tc>
        <w:tc>
          <w:tcPr>
            <w:tcW w:w="80" w:type="dxa"/>
            <w:vAlign w:val="bottom"/>
            <w:shd w:val="clear" w:color="auto" w:fill="BAD8EB"/>
          </w:tcPr>
          <w:p>
            <w:pPr>
              <w:spacing w:after="0"/>
              <w:rPr>
                <w:sz w:val="19"/>
                <w:szCs w:val="19"/>
                <w:color w:val="auto"/>
              </w:rPr>
            </w:pPr>
          </w:p>
        </w:tc>
        <w:tc>
          <w:tcPr>
            <w:tcW w:w="76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2/29/2024</w:t>
            </w:r>
          </w:p>
        </w:tc>
        <w:tc>
          <w:tcPr>
            <w:tcW w:w="240" w:type="dxa"/>
            <w:vAlign w:val="bottom"/>
            <w:shd w:val="clear" w:color="auto" w:fill="BAD8EB"/>
          </w:tcPr>
          <w:p>
            <w:pPr>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shd w:val="clear" w:color="auto" w:fill="BAD8EB"/>
          </w:tcPr>
          <w:p>
            <w:pPr>
              <w:spacing w:after="0"/>
              <w:rPr>
                <w:sz w:val="19"/>
                <w:szCs w:val="19"/>
                <w:color w:val="auto"/>
              </w:rPr>
            </w:pPr>
          </w:p>
        </w:tc>
        <w:tc>
          <w:tcPr>
            <w:tcW w:w="1340" w:type="dxa"/>
            <w:vAlign w:val="bottom"/>
            <w:gridSpan w:val="2"/>
            <w:shd w:val="clear" w:color="auto" w:fill="BAD8EB"/>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3"/>
            <w:shd w:val="clear" w:color="auto" w:fill="BAD8EB"/>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shd w:val="clear" w:color="auto" w:fill="BAD8EB"/>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BAD8EB"/>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rPr>
              <w:t>34,426</w:t>
            </w:r>
          </w:p>
        </w:tc>
        <w:tc>
          <w:tcPr>
            <w:tcW w:w="60" w:type="dxa"/>
            <w:vAlign w:val="bottom"/>
            <w:shd w:val="clear" w:color="auto" w:fill="BAD8EB"/>
          </w:tcPr>
          <w:p>
            <w:pPr>
              <w:spacing w:after="0"/>
              <w:rPr>
                <w:sz w:val="19"/>
                <w:szCs w:val="19"/>
                <w:color w:val="auto"/>
              </w:rPr>
            </w:pPr>
          </w:p>
        </w:tc>
        <w:tc>
          <w:tcPr>
            <w:tcW w:w="100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1,505,448.98</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0"/>
        </w:trPr>
        <w:tc>
          <w:tcPr>
            <w:tcW w:w="360" w:type="dxa"/>
            <w:vAlign w:val="bottom"/>
            <w:shd w:val="clear" w:color="auto" w:fill="BAD8EB"/>
          </w:tcPr>
          <w:p>
            <w:pPr>
              <w:spacing w:after="0"/>
              <w:rPr>
                <w:sz w:val="19"/>
                <w:szCs w:val="19"/>
                <w:color w:val="auto"/>
              </w:rPr>
            </w:pPr>
          </w:p>
        </w:tc>
        <w:tc>
          <w:tcPr>
            <w:tcW w:w="580" w:type="dxa"/>
            <w:vAlign w:val="bottom"/>
            <w:shd w:val="clear" w:color="auto" w:fill="BAD8EB"/>
          </w:tcPr>
          <w:p>
            <w:pPr>
              <w:spacing w:after="0"/>
              <w:rPr>
                <w:sz w:val="19"/>
                <w:szCs w:val="19"/>
                <w:color w:val="auto"/>
              </w:rPr>
            </w:pPr>
          </w:p>
        </w:tc>
        <w:tc>
          <w:tcPr>
            <w:tcW w:w="60" w:type="dxa"/>
            <w:vAlign w:val="bottom"/>
            <w:shd w:val="clear" w:color="auto" w:fill="BAD8EB"/>
          </w:tcPr>
          <w:p>
            <w:pPr>
              <w:spacing w:after="0"/>
              <w:rPr>
                <w:sz w:val="19"/>
                <w:szCs w:val="19"/>
                <w:color w:val="auto"/>
              </w:rPr>
            </w:pPr>
          </w:p>
        </w:tc>
        <w:tc>
          <w:tcPr>
            <w:tcW w:w="80" w:type="dxa"/>
            <w:vAlign w:val="bottom"/>
            <w:shd w:val="clear" w:color="auto" w:fill="BAD8EB"/>
          </w:tcPr>
          <w:p>
            <w:pPr>
              <w:spacing w:after="0"/>
              <w:rPr>
                <w:sz w:val="19"/>
                <w:szCs w:val="19"/>
                <w:color w:val="auto"/>
              </w:rPr>
            </w:pPr>
          </w:p>
        </w:tc>
        <w:tc>
          <w:tcPr>
            <w:tcW w:w="76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2/28/2025</w:t>
            </w:r>
          </w:p>
        </w:tc>
        <w:tc>
          <w:tcPr>
            <w:tcW w:w="240" w:type="dxa"/>
            <w:vAlign w:val="bottom"/>
            <w:shd w:val="clear" w:color="auto" w:fill="BAD8EB"/>
          </w:tcPr>
          <w:p>
            <w:pPr>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BAD8EB"/>
          </w:tcPr>
          <w:p>
            <w:pPr>
              <w:spacing w:after="0"/>
              <w:rPr>
                <w:sz w:val="19"/>
                <w:szCs w:val="19"/>
                <w:color w:val="auto"/>
              </w:rPr>
            </w:pPr>
          </w:p>
        </w:tc>
        <w:tc>
          <w:tcPr>
            <w:tcW w:w="1280" w:type="dxa"/>
            <w:vAlign w:val="bottom"/>
            <w:shd w:val="clear" w:color="auto" w:fill="BAD8EB"/>
          </w:tcPr>
          <w:p>
            <w:pPr>
              <w:jc w:val="right"/>
              <w:ind w:right="282"/>
              <w:spacing w:after="0"/>
              <w:rPr>
                <w:sz w:val="20"/>
                <w:szCs w:val="20"/>
                <w:color w:val="auto"/>
              </w:rPr>
            </w:pPr>
            <w:r>
              <w:rPr>
                <w:rFonts w:ascii="Times New Roman" w:cs="Times New Roman" w:eastAsia="Times New Roman" w:hAnsi="Times New Roman"/>
                <w:sz w:val="16"/>
                <w:szCs w:val="16"/>
                <w:color w:val="auto"/>
              </w:rPr>
              <w:t>11,609</w:t>
            </w:r>
          </w:p>
        </w:tc>
        <w:tc>
          <w:tcPr>
            <w:tcW w:w="60" w:type="dxa"/>
            <w:vAlign w:val="bottom"/>
            <w:shd w:val="clear" w:color="auto" w:fill="BAD8EB"/>
          </w:tcPr>
          <w:p>
            <w:pPr>
              <w:spacing w:after="0"/>
              <w:rPr>
                <w:sz w:val="19"/>
                <w:szCs w:val="19"/>
                <w:color w:val="auto"/>
              </w:rPr>
            </w:pPr>
          </w:p>
        </w:tc>
        <w:tc>
          <w:tcPr>
            <w:tcW w:w="1380" w:type="dxa"/>
            <w:vAlign w:val="bottom"/>
            <w:shd w:val="clear" w:color="auto" w:fill="BAD8EB"/>
          </w:tcPr>
          <w:p>
            <w:pPr>
              <w:jc w:val="right"/>
              <w:ind w:right="321"/>
              <w:spacing w:after="0"/>
              <w:rPr>
                <w:sz w:val="20"/>
                <w:szCs w:val="20"/>
                <w:color w:val="auto"/>
              </w:rPr>
            </w:pPr>
            <w:r>
              <w:rPr>
                <w:rFonts w:ascii="Times New Roman" w:cs="Times New Roman" w:eastAsia="Times New Roman" w:hAnsi="Times New Roman"/>
                <w:sz w:val="16"/>
                <w:szCs w:val="16"/>
                <w:color w:val="auto"/>
              </w:rPr>
              <w:t>44,119</w:t>
            </w:r>
          </w:p>
        </w:tc>
        <w:tc>
          <w:tcPr>
            <w:tcW w:w="60" w:type="dxa"/>
            <w:vAlign w:val="bottom"/>
            <w:shd w:val="clear" w:color="auto" w:fill="BAD8EB"/>
          </w:tcPr>
          <w:p>
            <w:pPr>
              <w:spacing w:after="0"/>
              <w:rPr>
                <w:sz w:val="19"/>
                <w:szCs w:val="19"/>
                <w:color w:val="auto"/>
              </w:rPr>
            </w:pPr>
          </w:p>
        </w:tc>
        <w:tc>
          <w:tcPr>
            <w:tcW w:w="140" w:type="dxa"/>
            <w:vAlign w:val="bottom"/>
            <w:shd w:val="clear" w:color="auto" w:fill="BAD8EB"/>
          </w:tcPr>
          <w:p>
            <w:pPr>
              <w:spacing w:after="0"/>
              <w:rPr>
                <w:sz w:val="19"/>
                <w:szCs w:val="19"/>
                <w:color w:val="auto"/>
              </w:rPr>
            </w:pPr>
          </w:p>
        </w:tc>
        <w:tc>
          <w:tcPr>
            <w:tcW w:w="940" w:type="dxa"/>
            <w:vAlign w:val="bottom"/>
            <w:shd w:val="clear" w:color="auto" w:fill="BAD8EB"/>
          </w:tcPr>
          <w:p>
            <w:pPr>
              <w:jc w:val="right"/>
              <w:ind w:right="220"/>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BAD8EB"/>
          </w:tcPr>
          <w:p>
            <w:pPr>
              <w:spacing w:after="0"/>
              <w:rPr>
                <w:sz w:val="19"/>
                <w:szCs w:val="19"/>
                <w:color w:val="auto"/>
              </w:rPr>
            </w:pPr>
          </w:p>
        </w:tc>
        <w:tc>
          <w:tcPr>
            <w:tcW w:w="880" w:type="dxa"/>
            <w:vAlign w:val="bottom"/>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02/27/2035</w:t>
            </w:r>
          </w:p>
        </w:tc>
        <w:tc>
          <w:tcPr>
            <w:tcW w:w="1200" w:type="dxa"/>
            <w:vAlign w:val="bottom"/>
            <w:gridSpan w:val="2"/>
            <w:shd w:val="clear" w:color="auto" w:fill="BAD8EB"/>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BAD8EB"/>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43"/>
        </w:trPr>
        <w:tc>
          <w:tcPr>
            <w:tcW w:w="360" w:type="dxa"/>
            <w:vAlign w:val="bottom"/>
            <w:tcBorders>
              <w:bottom w:val="single" w:sz="8" w:color="BAD8EB"/>
            </w:tcBorders>
            <w:shd w:val="clear" w:color="auto" w:fill="BAD8EB"/>
          </w:tcPr>
          <w:p>
            <w:pPr>
              <w:spacing w:after="0"/>
              <w:rPr>
                <w:sz w:val="21"/>
                <w:szCs w:val="21"/>
                <w:color w:val="auto"/>
              </w:rPr>
            </w:pPr>
          </w:p>
        </w:tc>
        <w:tc>
          <w:tcPr>
            <w:tcW w:w="580" w:type="dxa"/>
            <w:vAlign w:val="bottom"/>
            <w:tcBorders>
              <w:bottom w:val="single" w:sz="8" w:color="BAD8EB"/>
            </w:tcBorders>
            <w:shd w:val="clear" w:color="auto" w:fill="BAD8EB"/>
          </w:tcPr>
          <w:p>
            <w:pPr>
              <w:spacing w:after="0"/>
              <w:rPr>
                <w:sz w:val="21"/>
                <w:szCs w:val="21"/>
                <w:color w:val="auto"/>
              </w:rPr>
            </w:pPr>
          </w:p>
        </w:tc>
        <w:tc>
          <w:tcPr>
            <w:tcW w:w="60" w:type="dxa"/>
            <w:vAlign w:val="bottom"/>
            <w:tcBorders>
              <w:bottom w:val="single" w:sz="8" w:color="BAD8EB"/>
            </w:tcBorders>
            <w:shd w:val="clear" w:color="auto" w:fill="BAD8EB"/>
          </w:tcPr>
          <w:p>
            <w:pPr>
              <w:spacing w:after="0"/>
              <w:rPr>
                <w:sz w:val="21"/>
                <w:szCs w:val="21"/>
                <w:color w:val="auto"/>
              </w:rPr>
            </w:pPr>
          </w:p>
        </w:tc>
        <w:tc>
          <w:tcPr>
            <w:tcW w:w="80" w:type="dxa"/>
            <w:vAlign w:val="bottom"/>
            <w:tcBorders>
              <w:bottom w:val="single" w:sz="8" w:color="BAD8EB"/>
            </w:tcBorders>
            <w:shd w:val="clear" w:color="auto" w:fill="BAD8EB"/>
          </w:tcPr>
          <w:p>
            <w:pPr>
              <w:spacing w:after="0"/>
              <w:rPr>
                <w:sz w:val="21"/>
                <w:szCs w:val="21"/>
                <w:color w:val="auto"/>
              </w:rPr>
            </w:pPr>
          </w:p>
        </w:tc>
        <w:tc>
          <w:tcPr>
            <w:tcW w:w="760" w:type="dxa"/>
            <w:vAlign w:val="bottom"/>
            <w:tcBorders>
              <w:bottom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2/28/2025</w:t>
            </w:r>
          </w:p>
        </w:tc>
        <w:tc>
          <w:tcPr>
            <w:tcW w:w="240" w:type="dxa"/>
            <w:vAlign w:val="bottom"/>
            <w:tcBorders>
              <w:bottom w:val="single" w:sz="8" w:color="BAD8EB"/>
            </w:tcBorders>
            <w:shd w:val="clear" w:color="auto" w:fill="BAD8EB"/>
          </w:tcPr>
          <w:p>
            <w:pPr>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Borders>
              <w:bottom w:val="single" w:sz="8" w:color="BAD8EB"/>
            </w:tcBorders>
            <w:shd w:val="clear" w:color="auto" w:fill="BAD8EB"/>
          </w:tcPr>
          <w:p>
            <w:pPr>
              <w:spacing w:after="0"/>
              <w:rPr>
                <w:sz w:val="21"/>
                <w:szCs w:val="21"/>
                <w:color w:val="auto"/>
              </w:rPr>
            </w:pPr>
          </w:p>
        </w:tc>
        <w:tc>
          <w:tcPr>
            <w:tcW w:w="1340" w:type="dxa"/>
            <w:vAlign w:val="bottom"/>
            <w:tcBorders>
              <w:bottom w:val="single" w:sz="8" w:color="BAD8EB"/>
            </w:tcBorders>
            <w:gridSpan w:val="2"/>
            <w:shd w:val="clear" w:color="auto" w:fill="BAD8EB"/>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tcBorders>
              <w:bottom w:val="single" w:sz="8" w:color="BAD8EB"/>
            </w:tcBorders>
            <w:gridSpan w:val="3"/>
            <w:shd w:val="clear" w:color="auto" w:fill="BAD8EB"/>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Borders>
              <w:bottom w:val="single" w:sz="8" w:color="BAD8EB"/>
            </w:tcBorders>
            <w:gridSpan w:val="2"/>
            <w:shd w:val="clear" w:color="auto" w:fill="BAD8EB"/>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bottom w:val="single" w:sz="8" w:color="BAD8EB"/>
            </w:tcBorders>
            <w:gridSpan w:val="2"/>
            <w:shd w:val="clear" w:color="auto" w:fill="BAD8EB"/>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Borders>
              <w:bottom w:val="single" w:sz="8" w:color="BAD8EB"/>
            </w:tcBorders>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rPr>
              <w:t>23,832</w:t>
            </w:r>
          </w:p>
        </w:tc>
        <w:tc>
          <w:tcPr>
            <w:tcW w:w="60" w:type="dxa"/>
            <w:vAlign w:val="bottom"/>
            <w:tcBorders>
              <w:bottom w:val="single" w:sz="8" w:color="BAD8EB"/>
            </w:tcBorders>
            <w:shd w:val="clear" w:color="auto" w:fill="BAD8EB"/>
          </w:tcPr>
          <w:p>
            <w:pPr>
              <w:spacing w:after="0"/>
              <w:rPr>
                <w:sz w:val="21"/>
                <w:szCs w:val="21"/>
                <w:color w:val="auto"/>
              </w:rPr>
            </w:pPr>
          </w:p>
        </w:tc>
        <w:tc>
          <w:tcPr>
            <w:tcW w:w="1000" w:type="dxa"/>
            <w:vAlign w:val="bottom"/>
            <w:tcBorders>
              <w:bottom w:val="single" w:sz="8" w:color="BAD8EB"/>
            </w:tcBorders>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1,042,173.36</w:t>
            </w:r>
          </w:p>
        </w:tc>
        <w:tc>
          <w:tcPr>
            <w:tcW w:w="920" w:type="dxa"/>
            <w:vAlign w:val="bottom"/>
            <w:tcBorders>
              <w:bottom w:val="single" w:sz="8" w:color="BAD8EB"/>
            </w:tcBorders>
            <w:gridSpan w:val="2"/>
            <w:shd w:val="clear" w:color="auto" w:fill="BAD8EB"/>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Borders>
              <w:bottom w:val="single" w:sz="8" w:color="BAD8EB"/>
            </w:tcBorders>
            <w:shd w:val="clear" w:color="auto" w:fill="BAD8EB"/>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Scott Darling</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12/31/2022</w:t>
            </w:r>
          </w:p>
        </w:tc>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60" w:type="dxa"/>
            <w:vAlign w:val="bottom"/>
          </w:tcPr>
          <w:p>
            <w:pPr>
              <w:spacing w:after="0"/>
              <w:rPr>
                <w:sz w:val="18"/>
                <w:szCs w:val="18"/>
                <w:color w:val="auto"/>
              </w:rPr>
            </w:pPr>
          </w:p>
        </w:tc>
        <w:tc>
          <w:tcPr>
            <w:tcW w:w="12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86,561</w:t>
            </w:r>
          </w:p>
        </w:tc>
        <w:tc>
          <w:tcPr>
            <w:tcW w:w="60" w:type="dxa"/>
            <w:vAlign w:val="bottom"/>
          </w:tcPr>
          <w:p>
            <w:pPr>
              <w:spacing w:after="0"/>
              <w:rPr>
                <w:sz w:val="18"/>
                <w:szCs w:val="18"/>
                <w:color w:val="auto"/>
              </w:rPr>
            </w:pP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108,966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13.22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12/31/2032</w:t>
            </w:r>
          </w:p>
        </w:tc>
        <w:tc>
          <w:tcPr>
            <w:tcW w:w="6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gridSpan w:val="4"/>
          </w:tcPr>
          <w:p>
            <w:pPr>
              <w:jc w:val="right"/>
              <w:ind w:right="39"/>
              <w:spacing w:after="0" w:line="234" w:lineRule="exact"/>
              <w:rPr>
                <w:sz w:val="20"/>
                <w:szCs w:val="20"/>
                <w:color w:val="auto"/>
              </w:rPr>
            </w:pPr>
            <w:r>
              <w:rPr>
                <w:rFonts w:ascii="Times New Roman" w:cs="Times New Roman" w:eastAsia="Times New Roman" w:hAnsi="Times New Roman"/>
                <w:sz w:val="16"/>
                <w:szCs w:val="16"/>
                <w:color w:val="auto"/>
              </w:rPr>
              <w:t>12/31/2022</w:t>
            </w:r>
            <w:r>
              <w:rPr>
                <w:rFonts w:ascii="Times New Roman" w:cs="Times New Roman" w:eastAsia="Times New Roman" w:hAnsi="Times New Roman"/>
                <w:sz w:val="24"/>
                <w:szCs w:val="24"/>
                <w:color w:val="auto"/>
                <w:vertAlign w:val="superscript"/>
              </w:rPr>
              <w:t>(5)</w:t>
            </w:r>
          </w:p>
        </w:tc>
        <w:tc>
          <w:tcPr>
            <w:tcW w:w="60" w:type="dxa"/>
            <w:vAlign w:val="bottom"/>
          </w:tcPr>
          <w:p>
            <w:pPr>
              <w:spacing w:after="0"/>
              <w:rPr>
                <w:sz w:val="20"/>
                <w:szCs w:val="20"/>
                <w:color w:val="auto"/>
              </w:rPr>
            </w:pP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49,530</w:t>
            </w:r>
          </w:p>
        </w:tc>
        <w:tc>
          <w:tcPr>
            <w:tcW w:w="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2,165,947.00</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16"/>
                <w:szCs w:val="16"/>
                <w:color w:val="auto"/>
              </w:rPr>
              <w:t>2/29/2024</w:t>
            </w:r>
            <w:r>
              <w:rPr>
                <w:rFonts w:ascii="Times New Roman" w:cs="Times New Roman" w:eastAsia="Times New Roman" w:hAnsi="Times New Roman"/>
                <w:sz w:val="24"/>
                <w:szCs w:val="24"/>
                <w:color w:val="auto"/>
                <w:vertAlign w:val="superscript"/>
              </w:rPr>
              <w:t>(10)</w:t>
            </w:r>
          </w:p>
        </w:tc>
        <w:tc>
          <w:tcPr>
            <w:tcW w:w="60" w:type="dxa"/>
            <w:vAlign w:val="bottom"/>
          </w:tcPr>
          <w:p>
            <w:pPr>
              <w:spacing w:after="0"/>
              <w:rPr>
                <w:sz w:val="19"/>
                <w:szCs w:val="19"/>
                <w:color w:val="auto"/>
              </w:rPr>
            </w:pP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58,141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25.75</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2/28/2034</w:t>
            </w:r>
          </w:p>
        </w:tc>
        <w:tc>
          <w:tcPr>
            <w:tcW w:w="60" w:type="dxa"/>
            <w:vAlign w:val="bottom"/>
          </w:tcPr>
          <w:p>
            <w:pPr>
              <w:spacing w:after="0"/>
              <w:rPr>
                <w:sz w:val="19"/>
                <w:szCs w:val="19"/>
                <w:color w:val="auto"/>
              </w:rPr>
            </w:pP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16"/>
                <w:szCs w:val="16"/>
                <w:color w:val="auto"/>
              </w:rPr>
              <w:t>2/29/2024</w:t>
            </w:r>
            <w:r>
              <w:rPr>
                <w:rFonts w:ascii="Times New Roman" w:cs="Times New Roman" w:eastAsia="Times New Roman" w:hAnsi="Times New Roman"/>
                <w:sz w:val="24"/>
                <w:szCs w:val="24"/>
                <w:color w:val="auto"/>
                <w:vertAlign w:val="superscript"/>
              </w:rPr>
              <w:t>(11)</w:t>
            </w:r>
          </w:p>
        </w:tc>
        <w:tc>
          <w:tcPr>
            <w:tcW w:w="60" w:type="dxa"/>
            <w:vAlign w:val="bottom"/>
          </w:tcPr>
          <w:p>
            <w:pPr>
              <w:spacing w:after="0"/>
              <w:rPr>
                <w:sz w:val="19"/>
                <w:szCs w:val="19"/>
                <w:color w:val="auto"/>
              </w:rPr>
            </w:pP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30,601</w:t>
            </w:r>
          </w:p>
        </w:tc>
        <w:tc>
          <w:tcPr>
            <w:tcW w:w="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1,338,182.00</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16"/>
                <w:szCs w:val="16"/>
                <w:color w:val="auto"/>
              </w:rPr>
              <w:t>2/28/2025</w:t>
            </w:r>
            <w:r>
              <w:rPr>
                <w:rFonts w:ascii="Times New Roman" w:cs="Times New Roman" w:eastAsia="Times New Roman" w:hAnsi="Times New Roman"/>
                <w:sz w:val="24"/>
                <w:szCs w:val="24"/>
                <w:color w:val="auto"/>
                <w:vertAlign w:val="superscript"/>
              </w:rPr>
              <w:t>(14)</w:t>
            </w: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4,644</w:t>
            </w:r>
          </w:p>
        </w:tc>
        <w:tc>
          <w:tcPr>
            <w:tcW w:w="60" w:type="dxa"/>
            <w:vAlign w:val="bottom"/>
          </w:tcPr>
          <w:p>
            <w:pPr>
              <w:spacing w:after="0"/>
              <w:rPr>
                <w:sz w:val="19"/>
                <w:szCs w:val="19"/>
                <w:color w:val="auto"/>
              </w:rPr>
            </w:pP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23,220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2/27/2035</w:t>
            </w:r>
          </w:p>
        </w:tc>
        <w:tc>
          <w:tcPr>
            <w:tcW w:w="60" w:type="dxa"/>
            <w:vAlign w:val="bottom"/>
          </w:tcPr>
          <w:p>
            <w:pPr>
              <w:spacing w:after="0"/>
              <w:rPr>
                <w:sz w:val="19"/>
                <w:szCs w:val="19"/>
                <w:color w:val="auto"/>
              </w:rPr>
            </w:pP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r>
        <w:trPr>
          <w:trHeight w:val="321"/>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2/28/2025</w:t>
            </w:r>
            <w:r>
              <w:rPr>
                <w:rFonts w:ascii="Times New Roman" w:cs="Times New Roman" w:eastAsia="Times New Roman" w:hAnsi="Times New Roman"/>
                <w:sz w:val="24"/>
                <w:szCs w:val="24"/>
                <w:color w:val="auto"/>
                <w:vertAlign w:val="superscript"/>
              </w:rPr>
              <w:t>(15)</w:t>
            </w:r>
          </w:p>
        </w:tc>
        <w:tc>
          <w:tcPr>
            <w:tcW w:w="60" w:type="dxa"/>
            <w:vAlign w:val="bottom"/>
          </w:tcPr>
          <w:p>
            <w:pPr>
              <w:spacing w:after="0"/>
              <w:rPr>
                <w:sz w:val="24"/>
                <w:szCs w:val="24"/>
                <w:color w:val="auto"/>
              </w:rPr>
            </w:pP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12,467</w:t>
            </w:r>
          </w:p>
        </w:tc>
        <w:tc>
          <w:tcPr>
            <w:tcW w:w="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545,182.00</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3"/>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7715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8"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outstanding equity awards listed in the table above was granted pursuant to our 2012 Equity Incentive Plan or 2020 Equity Incentive Plan.</w:t>
      </w:r>
    </w:p>
    <w:p>
      <w:pPr>
        <w:spacing w:after="0" w:line="26" w:lineRule="exact"/>
        <w:rPr>
          <w:rFonts w:ascii="Times New Roman" w:cs="Times New Roman" w:eastAsia="Times New Roman" w:hAnsi="Times New Roman"/>
          <w:sz w:val="16"/>
          <w:szCs w:val="16"/>
          <w:color w:val="auto"/>
        </w:rPr>
      </w:pPr>
    </w:p>
    <w:p>
      <w:pPr>
        <w:ind w:left="540" w:right="160" w:hanging="424"/>
        <w:spacing w:after="0" w:line="288" w:lineRule="auto"/>
        <w:tabs>
          <w:tab w:leader="none" w:pos="5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represents the fair market value of a share of our common stock on the grant date, as determined in accordance with our 2012 Equity Incentive Plan or 2020 Equity Incentive Plan, as applicable.</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540" w:right="460" w:hanging="424"/>
        <w:spacing w:after="0" w:line="269"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columns represent the market value of a share of our common stock underlying the RSUs as of December 31, 2025, based on the closing price of our common stock of $43.73 per share.</w:t>
      </w:r>
    </w:p>
    <w:p>
      <w:pPr>
        <w:ind w:left="540" w:right="380" w:hanging="424"/>
        <w:spacing w:after="0" w:line="264"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forty-eighth of the shares subject to the option shall vest on January 20, 2023 and each one-month period thereafter, subject to continued service with us through each such date.</w:t>
      </w:r>
    </w:p>
    <w:p>
      <w:pPr>
        <w:ind w:left="540" w:right="780" w:hanging="424"/>
        <w:spacing w:after="0" w:line="264"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securities are RSUs. Each RSU represents a contingent right to receive one share of our common stock. One-sixteenth of the RSUs shall vest on February 20, 2023 and each three-month period thereafter, subject to continued service with us through each such date.</w:t>
      </w:r>
    </w:p>
    <w:p>
      <w:pPr>
        <w:ind w:left="540" w:right="460" w:hanging="424"/>
        <w:spacing w:after="0" w:line="264"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One-forty eighth of the shares subject to the option shall vest on March 20, 2023 and each one-month period thereafter, subject to continued service with us through each such date.</w:t>
      </w:r>
    </w:p>
    <w:p>
      <w:pPr>
        <w:ind w:left="540" w:right="200" w:hanging="424"/>
        <w:spacing w:after="0" w:line="264"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securities are RSUs. Each RSU represents a contingent right to receive one share of our common stock. One-sixteenth of the RSUs shall vest on May 20, 2023 and each three-month period thereafter, subject to continued service with us through each such date.</w:t>
      </w:r>
    </w:p>
    <w:p>
      <w:pPr>
        <w:ind w:left="540" w:right="260" w:hanging="424"/>
        <w:spacing w:after="0" w:line="264"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forty-eighth of the shares subject to the option shall vest on March 20, 2024 and each successive one-month period thereafter, subject to continued service with us through each such date.</w:t>
      </w:r>
    </w:p>
    <w:p>
      <w:pPr>
        <w:ind w:left="540" w:right="200" w:hanging="424"/>
        <w:spacing w:after="0" w:line="264"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securities are RSUs. Each RSU represents a contingent right to receive one share of our common stock. One-sixteenth of the RSUs shall vest on May 20, 2024 and each three-month period thereafter, subject to continued service with us through each such date.</w:t>
      </w:r>
    </w:p>
    <w:p>
      <w:pPr>
        <w:ind w:left="540" w:hanging="424"/>
        <w:spacing w:after="0" w:line="264"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of the shares subject to the option shall vest monthly in equal installments beginning on March 20, 2026, for 12 months, 55% of the shares shall vest monthly in equal installments for 12 months thereafter, and the remaining 35% of the shares shall vest monthly in equal installments for 12 months thereafter, subject to continued service with us through each such date.</w:t>
      </w:r>
    </w:p>
    <w:p>
      <w:pPr>
        <w:ind w:left="540" w:right="220" w:hanging="424"/>
        <w:spacing w:after="0" w:line="264"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securities are RSUs. Each RSU represents a contingent right to receive one share of our common stock. 10% of the RSUs shall vest quarterly in equal installments beginning on May 20, 2026, for 12 months, 55% of the RSUs shall vest quarterly in equal installments for 12 months thereafter, and the remaining 35% of the shares shall vest quarterly in equal installments for 12 months thereafter, subject to continued service with us through each such date.</w:t>
      </w:r>
    </w:p>
    <w:p>
      <w:pPr>
        <w:ind w:left="540" w:right="260" w:hanging="424"/>
        <w:spacing w:after="0" w:line="264"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forty-eighth of the shares subject to the option shall vest on March 20, 2025 and each successive one-month period thereafter, subject to continued service with us through each such date.</w:t>
      </w:r>
    </w:p>
    <w:p>
      <w:pPr>
        <w:ind w:left="540" w:right="200" w:hanging="424"/>
        <w:spacing w:after="0" w:line="264"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securities are RSUs. Each RSU represents a contingent right to receive one share of our common stock. One-sixteenth of the RSUs shall vest on May 20, 2025 and each three-month period thereafter, subject to continued service with us through each such date.</w:t>
      </w:r>
    </w:p>
    <w:p>
      <w:pPr>
        <w:ind w:left="540" w:right="20" w:hanging="424"/>
        <w:spacing w:after="0" w:line="264"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 of the shares subject to the option shall vest monthly in equal installments beginning on March 20, 2025, for 24 months, and the remaining 60% of the shares shall vest monthly in equal installments for 24 months thereafter, subject to continued service with us through each such date.</w:t>
      </w:r>
    </w:p>
    <w:p>
      <w:pPr>
        <w:ind w:left="540" w:right="220" w:hanging="424"/>
        <w:spacing w:after="0" w:line="276"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securities are RSUs. Each RSU represents a contingent right to receive one share of our common stock. 40% of the RSUs shall vest quarterly in equal installments beginning on May 20, 2025, for 24 months, and the remaining 60% of the RSUs shall vest quarterly in equal installments for 24 months thereafter, subject to continued service with us through each such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2025</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shares of common stock acquired during 2025 by our Named Executive Officers upon the exercise of stock options or upon the vesting of RSUs, as well as the value realized upon such equity award transactions.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20" w:type="dxa"/>
            <w:vAlign w:val="bottom"/>
          </w:tcPr>
          <w:p>
            <w:pPr>
              <w:spacing w:after="0"/>
              <w:rPr>
                <w:sz w:val="15"/>
                <w:szCs w:val="15"/>
                <w:color w:val="auto"/>
              </w:rPr>
            </w:pPr>
          </w:p>
        </w:tc>
        <w:tc>
          <w:tcPr>
            <w:tcW w:w="230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80" w:type="dxa"/>
            <w:vAlign w:val="bottom"/>
            <w:gridSpan w:val="2"/>
            <w:vMerge w:val="continue"/>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4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4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60"/>
        </w:trPr>
        <w:tc>
          <w:tcPr>
            <w:tcW w:w="45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Exercise (#)</w:t>
            </w:r>
          </w:p>
        </w:tc>
        <w:tc>
          <w:tcPr>
            <w:tcW w:w="148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Exercise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140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on Vesting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shd w:val="clear" w:color="auto" w:fill="BAD8EB"/>
          </w:tcPr>
          <w:p>
            <w:pPr>
              <w:spacing w:after="0" w:line="20" w:lineRule="exact"/>
              <w:rPr>
                <w:sz w:val="1"/>
                <w:szCs w:val="1"/>
                <w:color w:val="auto"/>
              </w:rPr>
            </w:pPr>
          </w:p>
        </w:tc>
        <w:tc>
          <w:tcPr>
            <w:tcW w:w="4160" w:type="dxa"/>
            <w:vAlign w:val="bottom"/>
            <w:shd w:val="clear" w:color="auto" w:fill="BAD8EB"/>
          </w:tcPr>
          <w:p>
            <w:pPr>
              <w:spacing w:after="0" w:line="20" w:lineRule="exact"/>
              <w:rPr>
                <w:sz w:val="1"/>
                <w:szCs w:val="1"/>
                <w:color w:val="auto"/>
              </w:rPr>
            </w:pPr>
          </w:p>
        </w:tc>
        <w:tc>
          <w:tcPr>
            <w:tcW w:w="480" w:type="dxa"/>
            <w:vAlign w:val="bottom"/>
            <w:shd w:val="clear" w:color="auto" w:fill="BAD8EB"/>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shd w:val="clear" w:color="auto" w:fill="BAD8EB"/>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shd w:val="clear" w:color="auto" w:fill="BAD8EB"/>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BAD8EB"/>
          </w:tcPr>
          <w:p>
            <w:pPr>
              <w:spacing w:after="0" w:line="20" w:lineRule="exact"/>
              <w:rPr>
                <w:sz w:val="1"/>
                <w:szCs w:val="1"/>
                <w:color w:val="auto"/>
              </w:rPr>
            </w:pPr>
          </w:p>
        </w:tc>
        <w:tc>
          <w:tcPr>
            <w:tcW w:w="900" w:type="dxa"/>
            <w:vAlign w:val="bottom"/>
            <w:tcBorders>
              <w:right w:val="single" w:sz="8" w:color="BAD8EB"/>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Dave Girouard</w:t>
            </w:r>
          </w:p>
        </w:tc>
        <w:tc>
          <w:tcPr>
            <w:tcW w:w="1820" w:type="dxa"/>
            <w:vAlign w:val="bottom"/>
            <w:tcBorders>
              <w:bottom w:val="single" w:sz="8" w:color="BAD8EB"/>
            </w:tcBorders>
            <w:gridSpan w:val="3"/>
            <w:shd w:val="clear" w:color="auto" w:fill="BAD8EB"/>
          </w:tcPr>
          <w:p>
            <w:pPr>
              <w:jc w:val="right"/>
              <w:ind w:right="560"/>
              <w:spacing w:after="0"/>
              <w:rPr>
                <w:sz w:val="20"/>
                <w:szCs w:val="20"/>
                <w:color w:val="auto"/>
              </w:rPr>
            </w:pPr>
            <w:r>
              <w:rPr>
                <w:rFonts w:ascii="Times New Roman" w:cs="Times New Roman" w:eastAsia="Times New Roman" w:hAnsi="Times New Roman"/>
                <w:sz w:val="18"/>
                <w:szCs w:val="18"/>
                <w:color w:val="auto"/>
              </w:rPr>
              <w:t>291,669</w:t>
            </w:r>
          </w:p>
        </w:tc>
        <w:tc>
          <w:tcPr>
            <w:tcW w:w="1480" w:type="dxa"/>
            <w:vAlign w:val="bottom"/>
            <w:tcBorders>
              <w:bottom w:val="single" w:sz="8" w:color="BAD8EB"/>
            </w:tcBorders>
            <w:gridSpan w:val="2"/>
            <w:shd w:val="clear" w:color="auto" w:fill="BAD8EB"/>
          </w:tcPr>
          <w:p>
            <w:pPr>
              <w:jc w:val="right"/>
              <w:ind w:right="620"/>
              <w:spacing w:after="0"/>
              <w:rPr>
                <w:sz w:val="20"/>
                <w:szCs w:val="20"/>
                <w:color w:val="auto"/>
              </w:rPr>
            </w:pPr>
            <w:r>
              <w:rPr>
                <w:rFonts w:ascii="Times New Roman" w:cs="Times New Roman" w:eastAsia="Times New Roman" w:hAnsi="Times New Roman"/>
                <w:sz w:val="18"/>
                <w:szCs w:val="18"/>
                <w:color w:val="auto"/>
              </w:rPr>
              <w:t>19,369,379</w:t>
            </w:r>
          </w:p>
        </w:tc>
        <w:tc>
          <w:tcPr>
            <w:tcW w:w="1400" w:type="dxa"/>
            <w:vAlign w:val="bottom"/>
            <w:tcBorders>
              <w:bottom w:val="single" w:sz="8" w:color="BAD8EB"/>
            </w:tcBorders>
            <w:gridSpan w:val="2"/>
            <w:shd w:val="clear" w:color="auto" w:fill="BAD8EB"/>
          </w:tcPr>
          <w:p>
            <w:pPr>
              <w:jc w:val="right"/>
              <w:ind w:right="560"/>
              <w:spacing w:after="0"/>
              <w:rPr>
                <w:sz w:val="20"/>
                <w:szCs w:val="20"/>
                <w:color w:val="auto"/>
              </w:rPr>
            </w:pPr>
            <w:r>
              <w:rPr>
                <w:rFonts w:ascii="Times New Roman" w:cs="Times New Roman" w:eastAsia="Times New Roman" w:hAnsi="Times New Roman"/>
                <w:sz w:val="18"/>
                <w:szCs w:val="18"/>
                <w:color w:val="auto"/>
              </w:rPr>
              <w:t>8,468</w:t>
            </w:r>
          </w:p>
        </w:tc>
        <w:tc>
          <w:tcPr>
            <w:tcW w:w="900" w:type="dxa"/>
            <w:vAlign w:val="bottom"/>
            <w:tcBorders>
              <w:bottom w:val="single" w:sz="8" w:color="BAD8EB"/>
              <w:right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703,775</w:t>
            </w:r>
          </w:p>
        </w:tc>
        <w:tc>
          <w:tcPr>
            <w:tcW w:w="0" w:type="dxa"/>
            <w:vAlign w:val="bottom"/>
          </w:tcPr>
          <w:p>
            <w:pPr>
              <w:spacing w:after="0"/>
              <w:rPr>
                <w:sz w:val="1"/>
                <w:szCs w:val="1"/>
                <w:color w:val="auto"/>
              </w:rPr>
            </w:pPr>
          </w:p>
        </w:tc>
      </w:tr>
      <w:tr>
        <w:trPr>
          <w:trHeight w:val="27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Datta</w:t>
            </w:r>
          </w:p>
        </w:tc>
        <w:tc>
          <w:tcPr>
            <w:tcW w:w="480" w:type="dxa"/>
            <w:vAlign w:val="bottom"/>
          </w:tcPr>
          <w:p>
            <w:pPr>
              <w:spacing w:after="0"/>
              <w:rPr>
                <w:sz w:val="23"/>
                <w:szCs w:val="23"/>
                <w:color w:val="auto"/>
              </w:rPr>
            </w:pP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109,935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6,425,436</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2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Paul Gu</w:t>
            </w:r>
          </w:p>
        </w:tc>
        <w:tc>
          <w:tcPr>
            <w:tcW w:w="1820" w:type="dxa"/>
            <w:vAlign w:val="bottom"/>
            <w:gridSpan w:val="3"/>
            <w:shd w:val="clear" w:color="auto" w:fill="BAD8EB"/>
          </w:tcPr>
          <w:p>
            <w:pPr>
              <w:jc w:val="right"/>
              <w:ind w:right="560"/>
              <w:spacing w:after="0"/>
              <w:rPr>
                <w:sz w:val="20"/>
                <w:szCs w:val="20"/>
                <w:color w:val="auto"/>
              </w:rPr>
            </w:pPr>
            <w:r>
              <w:rPr>
                <w:rFonts w:ascii="Times New Roman" w:cs="Times New Roman" w:eastAsia="Times New Roman" w:hAnsi="Times New Roman"/>
                <w:sz w:val="18"/>
                <w:szCs w:val="18"/>
                <w:color w:val="auto"/>
              </w:rPr>
              <w:t>221,084</w:t>
            </w:r>
          </w:p>
        </w:tc>
        <w:tc>
          <w:tcPr>
            <w:tcW w:w="1480" w:type="dxa"/>
            <w:vAlign w:val="bottom"/>
            <w:gridSpan w:val="2"/>
            <w:shd w:val="clear" w:color="auto" w:fill="BAD8EB"/>
          </w:tcPr>
          <w:p>
            <w:pPr>
              <w:jc w:val="right"/>
              <w:ind w:right="460"/>
              <w:spacing w:after="0" w:line="297" w:lineRule="exact"/>
              <w:rPr>
                <w:sz w:val="20"/>
                <w:szCs w:val="20"/>
                <w:color w:val="auto"/>
              </w:rPr>
            </w:pPr>
            <w:r>
              <w:rPr>
                <w:rFonts w:ascii="Times New Roman" w:cs="Times New Roman" w:eastAsia="Times New Roman" w:hAnsi="Times New Roman"/>
                <w:sz w:val="18"/>
                <w:szCs w:val="18"/>
                <w:color w:val="auto"/>
                <w:w w:val="98"/>
              </w:rPr>
              <w:t>10,744,685</w:t>
            </w:r>
            <w:r>
              <w:rPr>
                <w:rFonts w:ascii="Times New Roman" w:cs="Times New Roman" w:eastAsia="Times New Roman" w:hAnsi="Times New Roman"/>
                <w:sz w:val="26"/>
                <w:szCs w:val="26"/>
                <w:b w:val="1"/>
                <w:bCs w:val="1"/>
                <w:color w:val="auto"/>
                <w:w w:val="98"/>
                <w:vertAlign w:val="superscript"/>
              </w:rPr>
              <w:t>(2)</w:t>
            </w:r>
          </w:p>
        </w:tc>
        <w:tc>
          <w:tcPr>
            <w:tcW w:w="1400" w:type="dxa"/>
            <w:vAlign w:val="bottom"/>
            <w:gridSpan w:val="2"/>
            <w:shd w:val="clear" w:color="auto" w:fill="BAD8EB"/>
          </w:tcPr>
          <w:p>
            <w:pPr>
              <w:jc w:val="right"/>
              <w:ind w:right="560"/>
              <w:spacing w:after="0"/>
              <w:rPr>
                <w:sz w:val="20"/>
                <w:szCs w:val="20"/>
                <w:color w:val="auto"/>
              </w:rPr>
            </w:pPr>
            <w:r>
              <w:rPr>
                <w:rFonts w:ascii="Times New Roman" w:cs="Times New Roman" w:eastAsia="Times New Roman" w:hAnsi="Times New Roman"/>
                <w:sz w:val="18"/>
                <w:szCs w:val="18"/>
                <w:color w:val="auto"/>
              </w:rPr>
              <w:t>108,636</w:t>
            </w:r>
          </w:p>
        </w:tc>
        <w:tc>
          <w:tcPr>
            <w:tcW w:w="900" w:type="dxa"/>
            <w:vAlign w:val="bottom"/>
            <w:tcBorders>
              <w:right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6,184,003</w:t>
            </w:r>
          </w:p>
        </w:tc>
        <w:tc>
          <w:tcPr>
            <w:tcW w:w="0" w:type="dxa"/>
            <w:vAlign w:val="bottom"/>
          </w:tcPr>
          <w:p>
            <w:pPr>
              <w:spacing w:after="0"/>
              <w:rPr>
                <w:sz w:val="1"/>
                <w:szCs w:val="1"/>
                <w:color w:val="auto"/>
              </w:rPr>
            </w:pPr>
          </w:p>
        </w:tc>
      </w:tr>
      <w:tr>
        <w:trPr>
          <w:trHeight w:val="39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Darling</w:t>
            </w:r>
          </w:p>
        </w:tc>
        <w:tc>
          <w:tcPr>
            <w:tcW w:w="18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40,564</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2,182,882</w:t>
            </w:r>
            <w:r>
              <w:rPr>
                <w:rFonts w:ascii="Times New Roman" w:cs="Times New Roman" w:eastAsia="Times New Roman" w:hAnsi="Times New Roman"/>
                <w:sz w:val="26"/>
                <w:szCs w:val="26"/>
                <w:b w:val="1"/>
                <w:bCs w:val="1"/>
                <w:color w:val="auto"/>
                <w:vertAlign w:val="superscript"/>
              </w:rPr>
              <w:t>(2)</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51,725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2" w:lineRule="exact"/>
        <w:rPr>
          <w:sz w:val="20"/>
          <w:szCs w:val="20"/>
          <w:color w:val="auto"/>
        </w:rPr>
      </w:pPr>
    </w:p>
    <w:p>
      <w:pPr>
        <w:ind w:left="540" w:right="160" w:hanging="424"/>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value realized is the product of the number of shares of stock subject to the exercised option multiplied by the difference between the market price of our common stock at the time of exercise and the exercise price of the option.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30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all shares received upon exercise have been sold, and therefore Mr. Gu and Mr. Darling have not received the full amount listed with respect to the shares acquired upon exercise.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Pursuant to our Executive Change in Control and Severance Policy, as amended (the “CIC Policy”), if, within the three-month period prior to, or the 12-month period following, a “change in control” (as defined in the CIC Policy) (the “Change in Control Period”), we terminate the employment of an executive without “cause” (excluding death or disability) or the executive resigns for “good reason” (as such terms are defined in the CIC Policy), and within 60 days following such termination, the executive executes a waiver and release of claims in our favor that becomes effective and irrevocable (the “Release Requirement”), the executive will be entitled to receive: (i) a lump sum payment equal to 12 months of the executive’s then current annual base salary, (ii) a lump sum payment equal to 100% of the executive’s target annual bonus amount for the year of termination , (iii) reimbursement of premiums to maintain group health insurance continuation benefits pursuant to “COBRA” for the executive and the executive’s respective eligible dependents for up to 12 months, and (iv) vesting acceleration as to 100% of the then-unvested shares subject to each of the executive’s then outstanding equity awards (and in the case of awards with performance vesting, unless the applicable award agreement governing such award provides otherwise, all performance goals and other vesting criteria will be deemed achieved at target or as earned (determined on a pro rata basis)) if greater; provided that if an executive’s termination occurs prior to the 12-month anniversary of the start date with us, any payment, reimbursement or vesting acceleration described in clauses (i) through (iv) are prorated based on days of service of such executive during the applicable period.</w:t>
      </w:r>
    </w:p>
    <w:p>
      <w:pPr>
        <w:spacing w:after="0" w:line="17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Pursuant to the CIC Policy, if, outside of the Change in Control Period, we terminate the employment of an executive without “cause” (excluding death or disability) or the executive resigns for “good reason” (as such terms are defined in the CIC Policy), and the executive satisfies the Release Requirement, the executive is entitled to receive: (i) continuing payments of severance pay at a rate equal to the executive’s then current annual base salary for up to 12 months (or such shorter period as set forth in the applicable executive’s CIC Policy participation agreement), and (ii) payment of premiums to maintain group health insurance continuation benefits pursuant to “COBRA” for the executive and the executive’s respective eligible dependents for up to 12 months (or such shorter period as set forth in the applicable executive’s CIC Policy participation agreement); provided that if an executive’s termination occurs prior to the 12-month anniversary of the executive’s start date with us, the length of the applicable period under clauses (i) and (ii) is reduced by 50%.</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CIC Policy, in the event any payment to an executive would be subject to the excise tax imposed by Section 4999 of the Code (as a result of a payment being classified as a parachute payment under Section 280G of the Code), the executive will receive such payment as would entitle the executive to receive the greatest after-tax benefit, even if it means that we pay the executive a lower aggregate payment so as to minimize or eliminate the potential excise tax imposed by Section 4999 of the Code.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describes the potential payments that would have been provided to each of our Named executive officers pursuant to the CIC Policy in the event that they were terminated without “cause” (excluding death or disability) or resigned for “good reason” (as such terms are defined in the CIC Policy) outside of, and within the Change in Control Period, assuming such termination occurred on December 31, 2025 and the Release Requirement was satisfied.</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Termination without Cause or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Resignation for Good Reason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Termination without Cause or Resignation</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Outside of the Change in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4"/>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rPr>
              <w:t>for Good Reason</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Control Period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Within the Change in Control Period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Termination due to Death</w:t>
            </w:r>
          </w:p>
        </w:tc>
        <w:tc>
          <w:tcPr>
            <w:tcW w:w="0" w:type="dxa"/>
            <w:vAlign w:val="bottom"/>
          </w:tcPr>
          <w:p>
            <w:pPr>
              <w:spacing w:after="0"/>
              <w:rPr>
                <w:sz w:val="1"/>
                <w:szCs w:val="1"/>
                <w:color w:val="auto"/>
              </w:rPr>
            </w:pPr>
          </w:p>
        </w:tc>
      </w:tr>
      <w:tr>
        <w:trPr>
          <w:trHeight w:val="125"/>
        </w:trPr>
        <w:tc>
          <w:tcPr>
            <w:tcW w:w="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140"/>
              <w:spacing w:after="0" w:line="126"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w:t>
            </w:r>
          </w:p>
        </w:tc>
        <w:tc>
          <w:tcPr>
            <w:tcW w:w="100" w:type="dxa"/>
            <w:vAlign w:val="bottom"/>
          </w:tcPr>
          <w:p>
            <w:pPr>
              <w:spacing w:after="0"/>
              <w:rPr>
                <w:sz w:val="12"/>
                <w:szCs w:val="12"/>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Salary</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Health</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Health</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
              <w:spacing w:after="0" w:line="139" w:lineRule="exact"/>
              <w:rPr>
                <w:sz w:val="20"/>
                <w:szCs w:val="20"/>
                <w:color w:val="auto"/>
              </w:rPr>
            </w:pPr>
            <w:r>
              <w:rPr>
                <w:rFonts w:ascii="Times New Roman" w:cs="Times New Roman" w:eastAsia="Times New Roman" w:hAnsi="Times New Roman"/>
                <w:sz w:val="13"/>
                <w:szCs w:val="13"/>
                <w:b w:val="1"/>
                <w:bCs w:val="1"/>
                <w:color w:val="auto"/>
              </w:rPr>
              <w:t>Severance</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Coverage</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Severance</w:t>
            </w:r>
          </w:p>
        </w:tc>
        <w:tc>
          <w:tcPr>
            <w:tcW w:w="80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Severance</w:t>
            </w:r>
          </w:p>
        </w:tc>
        <w:tc>
          <w:tcPr>
            <w:tcW w:w="82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Coverage</w:t>
            </w:r>
          </w:p>
        </w:tc>
        <w:tc>
          <w:tcPr>
            <w:tcW w:w="100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Acceleration</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Acceleration</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Officer</w:t>
            </w:r>
          </w:p>
        </w:tc>
        <w:tc>
          <w:tcPr>
            <w:tcW w:w="1780" w:type="dxa"/>
            <w:vAlign w:val="bottom"/>
          </w:tcPr>
          <w:p>
            <w:pPr>
              <w:spacing w:after="0"/>
              <w:rPr>
                <w:sz w:val="15"/>
                <w:szCs w:val="15"/>
                <w:color w:val="auto"/>
              </w:rPr>
            </w:pPr>
          </w:p>
        </w:tc>
        <w:tc>
          <w:tcPr>
            <w:tcW w:w="740" w:type="dxa"/>
            <w:vAlign w:val="bottom"/>
            <w:gridSpan w:val="2"/>
          </w:tcPr>
          <w:p>
            <w:pPr>
              <w:jc w:val="center"/>
              <w:ind w:left="22"/>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5"/>
                <w:szCs w:val="15"/>
                <w:color w:val="auto"/>
              </w:rPr>
            </w:pPr>
          </w:p>
        </w:tc>
        <w:tc>
          <w:tcPr>
            <w:tcW w:w="800" w:type="dxa"/>
            <w:vAlign w:val="bottom"/>
            <w:gridSpan w:val="2"/>
          </w:tcPr>
          <w:p>
            <w:pPr>
              <w:jc w:val="center"/>
              <w:ind w:left="49"/>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6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68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8"/>
                <w:szCs w:val="8"/>
                <w:b w:val="1"/>
                <w:bCs w:val="1"/>
                <w:color w:val="auto"/>
              </w:rPr>
              <w:t>(1)</w:t>
            </w:r>
          </w:p>
        </w:tc>
        <w:tc>
          <w:tcPr>
            <w:tcW w:w="140" w:type="dxa"/>
            <w:vAlign w:val="bottom"/>
          </w:tcPr>
          <w:p>
            <w:pPr>
              <w:spacing w:after="0"/>
              <w:rPr>
                <w:sz w:val="15"/>
                <w:szCs w:val="15"/>
                <w:color w:val="auto"/>
              </w:rPr>
            </w:pPr>
          </w:p>
        </w:tc>
        <w:tc>
          <w:tcPr>
            <w:tcW w:w="86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8"/>
                <w:szCs w:val="8"/>
                <w:b w:val="1"/>
                <w:bCs w:val="1"/>
                <w:color w:val="auto"/>
              </w:rPr>
              <w:t>(2)</w:t>
            </w:r>
          </w:p>
        </w:tc>
        <w:tc>
          <w:tcPr>
            <w:tcW w:w="140" w:type="dxa"/>
            <w:vAlign w:val="bottom"/>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86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8"/>
                <w:szCs w:val="8"/>
                <w:b w:val="1"/>
                <w:bCs w:val="1"/>
                <w:color w:val="auto"/>
              </w:rPr>
              <w:t>(2)</w:t>
            </w:r>
          </w:p>
        </w:tc>
        <w:tc>
          <w:tcPr>
            <w:tcW w:w="14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237"/>
        </w:trPr>
        <w:tc>
          <w:tcPr>
            <w:tcW w:w="2200" w:type="dxa"/>
            <w:vAlign w:val="bottom"/>
            <w:tcBorders>
              <w:top w:val="single" w:sz="8" w:color="BAD8EB"/>
              <w:bottom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6"/>
                <w:szCs w:val="16"/>
                <w:color w:val="auto"/>
              </w:rPr>
              <w:t>Dave Girouard</w:t>
            </w:r>
          </w:p>
        </w:tc>
        <w:tc>
          <w:tcPr>
            <w:tcW w:w="100" w:type="dxa"/>
            <w:vAlign w:val="bottom"/>
            <w:tcBorders>
              <w:top w:val="single" w:sz="8" w:color="BAD8EB"/>
              <w:bottom w:val="single" w:sz="8" w:color="BAD8EB"/>
            </w:tcBorders>
            <w:shd w:val="clear" w:color="auto" w:fill="BAD8EB"/>
          </w:tcPr>
          <w:p>
            <w:pPr>
              <w:spacing w:after="0"/>
              <w:rPr>
                <w:sz w:val="20"/>
                <w:szCs w:val="20"/>
                <w:color w:val="auto"/>
              </w:rPr>
            </w:pPr>
          </w:p>
        </w:tc>
        <w:tc>
          <w:tcPr>
            <w:tcW w:w="640" w:type="dxa"/>
            <w:vAlign w:val="bottom"/>
            <w:tcBorders>
              <w:top w:val="single" w:sz="8" w:color="auto"/>
              <w:bottom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540,000</w:t>
            </w:r>
          </w:p>
        </w:tc>
        <w:tc>
          <w:tcPr>
            <w:tcW w:w="20" w:type="dxa"/>
            <w:vAlign w:val="bottom"/>
            <w:tcBorders>
              <w:top w:val="single" w:sz="8" w:color="BAD8EB"/>
              <w:bottom w:val="single" w:sz="8" w:color="BAD8EB"/>
            </w:tcBorders>
            <w:shd w:val="clear" w:color="auto" w:fill="BAD8EB"/>
          </w:tcPr>
          <w:p>
            <w:pPr>
              <w:spacing w:after="0"/>
              <w:rPr>
                <w:sz w:val="20"/>
                <w:szCs w:val="20"/>
                <w:color w:val="auto"/>
              </w:rPr>
            </w:pPr>
          </w:p>
        </w:tc>
        <w:tc>
          <w:tcPr>
            <w:tcW w:w="120" w:type="dxa"/>
            <w:vAlign w:val="bottom"/>
            <w:tcBorders>
              <w:top w:val="single" w:sz="8" w:color="BAD8EB"/>
              <w:bottom w:val="single" w:sz="8" w:color="BAD8EB"/>
            </w:tcBorders>
            <w:shd w:val="clear" w:color="auto" w:fill="BAD8EB"/>
          </w:tcPr>
          <w:p>
            <w:pPr>
              <w:spacing w:after="0"/>
              <w:rPr>
                <w:sz w:val="20"/>
                <w:szCs w:val="20"/>
                <w:color w:val="auto"/>
              </w:rPr>
            </w:pPr>
          </w:p>
        </w:tc>
        <w:tc>
          <w:tcPr>
            <w:tcW w:w="680" w:type="dxa"/>
            <w:vAlign w:val="bottom"/>
            <w:tcBorders>
              <w:top w:val="single" w:sz="8" w:color="auto"/>
              <w:bottom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33,963</w:t>
            </w:r>
          </w:p>
        </w:tc>
        <w:tc>
          <w:tcPr>
            <w:tcW w:w="160" w:type="dxa"/>
            <w:vAlign w:val="bottom"/>
            <w:tcBorders>
              <w:top w:val="single" w:sz="8" w:color="BAD8EB"/>
              <w:bottom w:val="single" w:sz="8" w:color="BAD8EB"/>
            </w:tcBorders>
            <w:shd w:val="clear" w:color="auto" w:fill="BAD8EB"/>
          </w:tcPr>
          <w:p>
            <w:pPr>
              <w:spacing w:after="0"/>
              <w:rPr>
                <w:sz w:val="20"/>
                <w:szCs w:val="20"/>
                <w:color w:val="auto"/>
              </w:rPr>
            </w:pPr>
          </w:p>
        </w:tc>
        <w:tc>
          <w:tcPr>
            <w:tcW w:w="600" w:type="dxa"/>
            <w:vAlign w:val="bottom"/>
            <w:tcBorders>
              <w:top w:val="single" w:sz="8" w:color="auto"/>
              <w:bottom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573,963</w:t>
            </w:r>
          </w:p>
        </w:tc>
        <w:tc>
          <w:tcPr>
            <w:tcW w:w="140" w:type="dxa"/>
            <w:vAlign w:val="bottom"/>
            <w:tcBorders>
              <w:top w:val="single" w:sz="8" w:color="BAD8EB"/>
              <w:bottom w:val="single" w:sz="8" w:color="BAD8EB"/>
            </w:tcBorders>
            <w:shd w:val="clear" w:color="auto" w:fill="BAD8EB"/>
          </w:tcPr>
          <w:p>
            <w:pPr>
              <w:spacing w:after="0"/>
              <w:rPr>
                <w:sz w:val="20"/>
                <w:szCs w:val="20"/>
                <w:color w:val="auto"/>
              </w:rPr>
            </w:pPr>
          </w:p>
        </w:tc>
        <w:tc>
          <w:tcPr>
            <w:tcW w:w="660" w:type="dxa"/>
            <w:vAlign w:val="bottom"/>
            <w:tcBorders>
              <w:top w:val="single" w:sz="8" w:color="auto"/>
              <w:bottom w:val="single" w:sz="8" w:color="BAD8EB"/>
            </w:tcBorders>
            <w:shd w:val="clear" w:color="auto" w:fill="BAD8EB"/>
          </w:tcPr>
          <w:p>
            <w:pPr>
              <w:ind w:left="120"/>
              <w:spacing w:after="0"/>
              <w:rPr>
                <w:sz w:val="20"/>
                <w:szCs w:val="20"/>
                <w:color w:val="auto"/>
              </w:rPr>
            </w:pPr>
            <w:r>
              <w:rPr>
                <w:rFonts w:ascii="Times New Roman" w:cs="Times New Roman" w:eastAsia="Times New Roman" w:hAnsi="Times New Roman"/>
                <w:sz w:val="16"/>
                <w:szCs w:val="16"/>
                <w:color w:val="auto"/>
                <w:w w:val="99"/>
              </w:rPr>
              <w:t>540,000</w:t>
            </w:r>
          </w:p>
        </w:tc>
        <w:tc>
          <w:tcPr>
            <w:tcW w:w="140" w:type="dxa"/>
            <w:vAlign w:val="bottom"/>
            <w:tcBorders>
              <w:top w:val="single" w:sz="8" w:color="BAD8EB"/>
              <w:bottom w:val="single" w:sz="8" w:color="BAD8EB"/>
            </w:tcBorders>
            <w:shd w:val="clear" w:color="auto" w:fill="BAD8EB"/>
          </w:tcPr>
          <w:p>
            <w:pPr>
              <w:spacing w:after="0"/>
              <w:rPr>
                <w:sz w:val="20"/>
                <w:szCs w:val="20"/>
                <w:color w:val="auto"/>
              </w:rPr>
            </w:pPr>
          </w:p>
        </w:tc>
        <w:tc>
          <w:tcPr>
            <w:tcW w:w="660" w:type="dxa"/>
            <w:vAlign w:val="bottom"/>
            <w:tcBorders>
              <w:top w:val="single" w:sz="8" w:color="auto"/>
              <w:bottom w:val="single" w:sz="8" w:color="BAD8EB"/>
            </w:tcBorders>
            <w:shd w:val="clear" w:color="auto" w:fill="BAD8EB"/>
          </w:tcPr>
          <w:p>
            <w:pPr>
              <w:ind w:left="120"/>
              <w:spacing w:after="0"/>
              <w:rPr>
                <w:sz w:val="20"/>
                <w:szCs w:val="20"/>
                <w:color w:val="auto"/>
              </w:rPr>
            </w:pPr>
            <w:r>
              <w:rPr>
                <w:rFonts w:ascii="Times New Roman" w:cs="Times New Roman" w:eastAsia="Times New Roman" w:hAnsi="Times New Roman"/>
                <w:sz w:val="16"/>
                <w:szCs w:val="16"/>
                <w:color w:val="auto"/>
                <w:w w:val="99"/>
              </w:rPr>
              <w:t>540,000</w:t>
            </w:r>
          </w:p>
        </w:tc>
        <w:tc>
          <w:tcPr>
            <w:tcW w:w="140" w:type="dxa"/>
            <w:vAlign w:val="bottom"/>
            <w:tcBorders>
              <w:top w:val="single" w:sz="8" w:color="BAD8EB"/>
              <w:bottom w:val="single" w:sz="8" w:color="BAD8EB"/>
            </w:tcBorders>
            <w:shd w:val="clear" w:color="auto" w:fill="BAD8EB"/>
          </w:tcPr>
          <w:p>
            <w:pPr>
              <w:spacing w:after="0"/>
              <w:rPr>
                <w:sz w:val="20"/>
                <w:szCs w:val="20"/>
                <w:color w:val="auto"/>
              </w:rPr>
            </w:pPr>
          </w:p>
        </w:tc>
        <w:tc>
          <w:tcPr>
            <w:tcW w:w="680" w:type="dxa"/>
            <w:vAlign w:val="bottom"/>
            <w:tcBorders>
              <w:top w:val="single" w:sz="8" w:color="auto"/>
              <w:bottom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33,963</w:t>
            </w:r>
          </w:p>
        </w:tc>
        <w:tc>
          <w:tcPr>
            <w:tcW w:w="140" w:type="dxa"/>
            <w:vAlign w:val="bottom"/>
            <w:tcBorders>
              <w:top w:val="single" w:sz="8" w:color="BAD8EB"/>
              <w:bottom w:val="single" w:sz="8" w:color="BAD8EB"/>
            </w:tcBorders>
            <w:shd w:val="clear" w:color="auto" w:fill="BAD8EB"/>
          </w:tcPr>
          <w:p>
            <w:pPr>
              <w:spacing w:after="0"/>
              <w:rPr>
                <w:sz w:val="20"/>
                <w:szCs w:val="20"/>
                <w:color w:val="auto"/>
              </w:rPr>
            </w:pPr>
          </w:p>
        </w:tc>
        <w:tc>
          <w:tcPr>
            <w:tcW w:w="860" w:type="dxa"/>
            <w:vAlign w:val="bottom"/>
            <w:tcBorders>
              <w:top w:val="single" w:sz="8" w:color="auto"/>
              <w:bottom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10,767,940</w:t>
            </w:r>
          </w:p>
        </w:tc>
        <w:tc>
          <w:tcPr>
            <w:tcW w:w="140" w:type="dxa"/>
            <w:vAlign w:val="bottom"/>
            <w:tcBorders>
              <w:top w:val="single" w:sz="8" w:color="BAD8EB"/>
              <w:bottom w:val="single" w:sz="8" w:color="BAD8EB"/>
            </w:tcBorders>
            <w:shd w:val="clear" w:color="auto" w:fill="BAD8EB"/>
          </w:tcPr>
          <w:p>
            <w:pPr>
              <w:spacing w:after="0"/>
              <w:rPr>
                <w:sz w:val="20"/>
                <w:szCs w:val="20"/>
                <w:color w:val="auto"/>
              </w:rPr>
            </w:pPr>
          </w:p>
        </w:tc>
        <w:tc>
          <w:tcPr>
            <w:tcW w:w="860" w:type="dxa"/>
            <w:vAlign w:val="bottom"/>
            <w:tcBorders>
              <w:top w:val="single" w:sz="8" w:color="auto"/>
              <w:bottom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11,881,903</w:t>
            </w:r>
          </w:p>
        </w:tc>
        <w:tc>
          <w:tcPr>
            <w:tcW w:w="140" w:type="dxa"/>
            <w:vAlign w:val="bottom"/>
            <w:tcBorders>
              <w:top w:val="single" w:sz="8" w:color="BAD8EB"/>
              <w:bottom w:val="single" w:sz="8" w:color="BAD8EB"/>
            </w:tcBorders>
            <w:shd w:val="clear" w:color="auto" w:fill="BAD8EB"/>
          </w:tcPr>
          <w:p>
            <w:pPr>
              <w:spacing w:after="0"/>
              <w:rPr>
                <w:sz w:val="20"/>
                <w:szCs w:val="20"/>
                <w:color w:val="auto"/>
              </w:rPr>
            </w:pPr>
          </w:p>
        </w:tc>
        <w:tc>
          <w:tcPr>
            <w:tcW w:w="860" w:type="dxa"/>
            <w:vAlign w:val="bottom"/>
            <w:tcBorders>
              <w:top w:val="single" w:sz="8" w:color="auto"/>
              <w:bottom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10,767,940</w:t>
            </w:r>
          </w:p>
        </w:tc>
        <w:tc>
          <w:tcPr>
            <w:tcW w:w="140" w:type="dxa"/>
            <w:vAlign w:val="bottom"/>
            <w:tcBorders>
              <w:top w:val="single" w:sz="8" w:color="BAD8EB"/>
              <w:bottom w:val="single" w:sz="8" w:color="BAD8EB"/>
            </w:tcBorders>
            <w:shd w:val="clear" w:color="auto" w:fill="BAD8EB"/>
          </w:tcPr>
          <w:p>
            <w:pPr>
              <w:spacing w:after="0"/>
              <w:rPr>
                <w:sz w:val="20"/>
                <w:szCs w:val="20"/>
                <w:color w:val="auto"/>
              </w:rPr>
            </w:pPr>
          </w:p>
        </w:tc>
        <w:tc>
          <w:tcPr>
            <w:tcW w:w="880" w:type="dxa"/>
            <w:vAlign w:val="bottom"/>
            <w:tcBorders>
              <w:top w:val="single" w:sz="8" w:color="auto"/>
              <w:bottom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10,767,940</w:t>
            </w:r>
          </w:p>
        </w:tc>
        <w:tc>
          <w:tcPr>
            <w:tcW w:w="60" w:type="dxa"/>
            <w:vAlign w:val="bottom"/>
            <w:tcBorders>
              <w:top w:val="single" w:sz="8" w:color="BAD8EB"/>
              <w:bottom w:val="single" w:sz="8" w:color="BAD8EB"/>
            </w:tcBorders>
            <w:shd w:val="clear" w:color="auto" w:fill="BAD8EB"/>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Sanjay Datta</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485,000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33,963</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518,963</w:t>
            </w:r>
          </w:p>
        </w:tc>
        <w:tc>
          <w:tcPr>
            <w:tcW w:w="140" w:type="dxa"/>
            <w:vAlign w:val="bottom"/>
          </w:tcPr>
          <w:p>
            <w:pPr>
              <w:spacing w:after="0"/>
              <w:rPr>
                <w:sz w:val="21"/>
                <w:szCs w:val="21"/>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485,000</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363,750</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33,963</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8,617,492</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9,500,206</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8,617,492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8,617,492</w:t>
            </w: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200" w:type="dxa"/>
            <w:vAlign w:val="bottom"/>
            <w:tcBorders>
              <w:bottom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6"/>
                <w:szCs w:val="16"/>
                <w:color w:val="auto"/>
              </w:rPr>
              <w:t>Paul Gu</w:t>
            </w:r>
          </w:p>
        </w:tc>
        <w:tc>
          <w:tcPr>
            <w:tcW w:w="760" w:type="dxa"/>
            <w:vAlign w:val="bottom"/>
            <w:tcBorders>
              <w:bottom w:val="single" w:sz="8" w:color="BAD8EB"/>
            </w:tcBorders>
            <w:gridSpan w:val="3"/>
            <w:shd w:val="clear" w:color="auto" w:fill="BAD8EB"/>
          </w:tcPr>
          <w:p>
            <w:pPr>
              <w:jc w:val="right"/>
              <w:ind w:right="20"/>
              <w:spacing w:after="0"/>
              <w:rPr>
                <w:sz w:val="20"/>
                <w:szCs w:val="20"/>
                <w:color w:val="auto"/>
              </w:rPr>
            </w:pPr>
            <w:r>
              <w:rPr>
                <w:rFonts w:ascii="Times New Roman" w:cs="Times New Roman" w:eastAsia="Times New Roman" w:hAnsi="Times New Roman"/>
                <w:sz w:val="16"/>
                <w:szCs w:val="16"/>
                <w:color w:val="auto"/>
              </w:rPr>
              <w:t>485,000</w:t>
            </w:r>
          </w:p>
        </w:tc>
        <w:tc>
          <w:tcPr>
            <w:tcW w:w="800" w:type="dxa"/>
            <w:vAlign w:val="bottom"/>
            <w:tcBorders>
              <w:bottom w:val="single" w:sz="8" w:color="BAD8EB"/>
            </w:tcBorders>
            <w:gridSpan w:val="2"/>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33,436</w:t>
            </w:r>
          </w:p>
        </w:tc>
        <w:tc>
          <w:tcPr>
            <w:tcW w:w="160" w:type="dxa"/>
            <w:vAlign w:val="bottom"/>
            <w:tcBorders>
              <w:bottom w:val="single" w:sz="8" w:color="BAD8EB"/>
            </w:tcBorders>
            <w:shd w:val="clear" w:color="auto" w:fill="BAD8EB"/>
          </w:tcPr>
          <w:p>
            <w:pPr>
              <w:spacing w:after="0"/>
              <w:rPr>
                <w:sz w:val="22"/>
                <w:szCs w:val="22"/>
                <w:color w:val="auto"/>
              </w:rPr>
            </w:pPr>
          </w:p>
        </w:tc>
        <w:tc>
          <w:tcPr>
            <w:tcW w:w="600" w:type="dxa"/>
            <w:vAlign w:val="bottom"/>
            <w:tcBorders>
              <w:bottom w:val="single" w:sz="8" w:color="BAD8EB"/>
            </w:tcBorders>
            <w:shd w:val="clear" w:color="auto" w:fill="BAD8EB"/>
          </w:tcPr>
          <w:p>
            <w:pPr>
              <w:jc w:val="right"/>
              <w:spacing w:after="0"/>
              <w:rPr>
                <w:sz w:val="20"/>
                <w:szCs w:val="20"/>
                <w:color w:val="auto"/>
              </w:rPr>
            </w:pPr>
            <w:r>
              <w:rPr>
                <w:rFonts w:ascii="Times New Roman" w:cs="Times New Roman" w:eastAsia="Times New Roman" w:hAnsi="Times New Roman"/>
                <w:sz w:val="16"/>
                <w:szCs w:val="16"/>
                <w:color w:val="auto"/>
              </w:rPr>
              <w:t>518,436</w:t>
            </w:r>
          </w:p>
        </w:tc>
        <w:tc>
          <w:tcPr>
            <w:tcW w:w="140" w:type="dxa"/>
            <w:vAlign w:val="bottom"/>
            <w:tcBorders>
              <w:bottom w:val="single" w:sz="8" w:color="BAD8EB"/>
            </w:tcBorders>
            <w:shd w:val="clear" w:color="auto" w:fill="BAD8EB"/>
          </w:tcPr>
          <w:p>
            <w:pPr>
              <w:spacing w:after="0"/>
              <w:rPr>
                <w:sz w:val="22"/>
                <w:szCs w:val="22"/>
                <w:color w:val="auto"/>
              </w:rPr>
            </w:pPr>
          </w:p>
        </w:tc>
        <w:tc>
          <w:tcPr>
            <w:tcW w:w="800" w:type="dxa"/>
            <w:vAlign w:val="bottom"/>
            <w:tcBorders>
              <w:bottom w:val="single" w:sz="8" w:color="BAD8EB"/>
            </w:tcBorders>
            <w:gridSpan w:val="2"/>
            <w:shd w:val="clear" w:color="auto" w:fill="BAD8EB"/>
          </w:tcPr>
          <w:p>
            <w:pPr>
              <w:ind w:left="120"/>
              <w:spacing w:after="0"/>
              <w:rPr>
                <w:sz w:val="20"/>
                <w:szCs w:val="20"/>
                <w:color w:val="auto"/>
              </w:rPr>
            </w:pPr>
            <w:r>
              <w:rPr>
                <w:rFonts w:ascii="Times New Roman" w:cs="Times New Roman" w:eastAsia="Times New Roman" w:hAnsi="Times New Roman"/>
                <w:sz w:val="16"/>
                <w:szCs w:val="16"/>
                <w:color w:val="auto"/>
              </w:rPr>
              <w:t>485,000</w:t>
            </w:r>
          </w:p>
        </w:tc>
        <w:tc>
          <w:tcPr>
            <w:tcW w:w="660" w:type="dxa"/>
            <w:vAlign w:val="bottom"/>
            <w:tcBorders>
              <w:bottom w:val="single" w:sz="8" w:color="BAD8EB"/>
            </w:tcBorders>
            <w:shd w:val="clear" w:color="auto" w:fill="BAD8EB"/>
          </w:tcPr>
          <w:p>
            <w:pPr>
              <w:ind w:left="120"/>
              <w:spacing w:after="0"/>
              <w:rPr>
                <w:sz w:val="20"/>
                <w:szCs w:val="20"/>
                <w:color w:val="auto"/>
              </w:rPr>
            </w:pPr>
            <w:r>
              <w:rPr>
                <w:rFonts w:ascii="Times New Roman" w:cs="Times New Roman" w:eastAsia="Times New Roman" w:hAnsi="Times New Roman"/>
                <w:sz w:val="16"/>
                <w:szCs w:val="16"/>
                <w:color w:val="auto"/>
                <w:w w:val="99"/>
              </w:rPr>
              <w:t>363,750</w:t>
            </w:r>
          </w:p>
        </w:tc>
        <w:tc>
          <w:tcPr>
            <w:tcW w:w="140" w:type="dxa"/>
            <w:vAlign w:val="bottom"/>
            <w:tcBorders>
              <w:bottom w:val="single" w:sz="8" w:color="BAD8EB"/>
            </w:tcBorders>
            <w:shd w:val="clear" w:color="auto" w:fill="BAD8EB"/>
          </w:tcPr>
          <w:p>
            <w:pPr>
              <w:spacing w:after="0"/>
              <w:rPr>
                <w:sz w:val="22"/>
                <w:szCs w:val="22"/>
                <w:color w:val="auto"/>
              </w:rPr>
            </w:pPr>
          </w:p>
        </w:tc>
        <w:tc>
          <w:tcPr>
            <w:tcW w:w="820" w:type="dxa"/>
            <w:vAlign w:val="bottom"/>
            <w:tcBorders>
              <w:bottom w:val="single" w:sz="8" w:color="BAD8EB"/>
            </w:tcBorders>
            <w:gridSpan w:val="2"/>
            <w:shd w:val="clear" w:color="auto" w:fill="BAD8EB"/>
          </w:tcPr>
          <w:p>
            <w:pPr>
              <w:jc w:val="right"/>
              <w:ind w:right="140"/>
              <w:spacing w:after="0"/>
              <w:rPr>
                <w:sz w:val="20"/>
                <w:szCs w:val="20"/>
                <w:color w:val="auto"/>
              </w:rPr>
            </w:pPr>
            <w:r>
              <w:rPr>
                <w:rFonts w:ascii="Times New Roman" w:cs="Times New Roman" w:eastAsia="Times New Roman" w:hAnsi="Times New Roman"/>
                <w:sz w:val="16"/>
                <w:szCs w:val="16"/>
                <w:color w:val="auto"/>
              </w:rPr>
              <w:t>33,436</w:t>
            </w:r>
          </w:p>
        </w:tc>
        <w:tc>
          <w:tcPr>
            <w:tcW w:w="1000" w:type="dxa"/>
            <w:vAlign w:val="bottom"/>
            <w:tcBorders>
              <w:bottom w:val="single" w:sz="8" w:color="BAD8EB"/>
            </w:tcBorders>
            <w:gridSpan w:val="2"/>
            <w:shd w:val="clear" w:color="auto" w:fill="BAD8EB"/>
          </w:tcPr>
          <w:p>
            <w:pPr>
              <w:jc w:val="right"/>
              <w:ind w:right="140"/>
              <w:spacing w:after="0"/>
              <w:rPr>
                <w:sz w:val="20"/>
                <w:szCs w:val="20"/>
                <w:color w:val="auto"/>
              </w:rPr>
            </w:pPr>
            <w:r>
              <w:rPr>
                <w:rFonts w:ascii="Times New Roman" w:cs="Times New Roman" w:eastAsia="Times New Roman" w:hAnsi="Times New Roman"/>
                <w:sz w:val="16"/>
                <w:szCs w:val="16"/>
                <w:color w:val="auto"/>
              </w:rPr>
              <w:t>8,617,492</w:t>
            </w:r>
          </w:p>
        </w:tc>
        <w:tc>
          <w:tcPr>
            <w:tcW w:w="1000" w:type="dxa"/>
            <w:vAlign w:val="bottom"/>
            <w:tcBorders>
              <w:bottom w:val="single" w:sz="8" w:color="BAD8EB"/>
            </w:tcBorders>
            <w:gridSpan w:val="2"/>
            <w:shd w:val="clear" w:color="auto" w:fill="BAD8EB"/>
          </w:tcPr>
          <w:p>
            <w:pPr>
              <w:jc w:val="right"/>
              <w:ind w:right="140"/>
              <w:spacing w:after="0"/>
              <w:rPr>
                <w:sz w:val="20"/>
                <w:szCs w:val="20"/>
                <w:color w:val="auto"/>
              </w:rPr>
            </w:pPr>
            <w:r>
              <w:rPr>
                <w:rFonts w:ascii="Times New Roman" w:cs="Times New Roman" w:eastAsia="Times New Roman" w:hAnsi="Times New Roman"/>
                <w:sz w:val="16"/>
                <w:szCs w:val="16"/>
                <w:color w:val="auto"/>
              </w:rPr>
              <w:t>9,499,678</w:t>
            </w:r>
          </w:p>
        </w:tc>
        <w:tc>
          <w:tcPr>
            <w:tcW w:w="1000" w:type="dxa"/>
            <w:vAlign w:val="bottom"/>
            <w:tcBorders>
              <w:bottom w:val="single" w:sz="8" w:color="BAD8EB"/>
            </w:tcBorders>
            <w:gridSpan w:val="2"/>
            <w:shd w:val="clear" w:color="auto" w:fill="BAD8EB"/>
          </w:tcPr>
          <w:p>
            <w:pPr>
              <w:jc w:val="right"/>
              <w:ind w:right="140"/>
              <w:spacing w:after="0"/>
              <w:rPr>
                <w:sz w:val="20"/>
                <w:szCs w:val="20"/>
                <w:color w:val="auto"/>
              </w:rPr>
            </w:pPr>
            <w:r>
              <w:rPr>
                <w:rFonts w:ascii="Times New Roman" w:cs="Times New Roman" w:eastAsia="Times New Roman" w:hAnsi="Times New Roman"/>
                <w:sz w:val="16"/>
                <w:szCs w:val="16"/>
                <w:color w:val="auto"/>
              </w:rPr>
              <w:t>8,617,492</w:t>
            </w:r>
          </w:p>
        </w:tc>
        <w:tc>
          <w:tcPr>
            <w:tcW w:w="940" w:type="dxa"/>
            <w:vAlign w:val="bottom"/>
            <w:tcBorders>
              <w:bottom w:val="single" w:sz="8" w:color="BAD8EB"/>
            </w:tcBorders>
            <w:gridSpan w:val="2"/>
            <w:shd w:val="clear" w:color="auto" w:fill="BAD8EB"/>
          </w:tcPr>
          <w:p>
            <w:pPr>
              <w:jc w:val="right"/>
              <w:ind w:right="60"/>
              <w:spacing w:after="0"/>
              <w:rPr>
                <w:sz w:val="20"/>
                <w:szCs w:val="20"/>
                <w:color w:val="auto"/>
              </w:rPr>
            </w:pPr>
            <w:r>
              <w:rPr>
                <w:rFonts w:ascii="Times New Roman" w:cs="Times New Roman" w:eastAsia="Times New Roman" w:hAnsi="Times New Roman"/>
                <w:sz w:val="16"/>
                <w:szCs w:val="16"/>
                <w:color w:val="auto"/>
              </w:rPr>
              <w:t>8,617,492</w:t>
            </w:r>
          </w:p>
        </w:tc>
        <w:tc>
          <w:tcPr>
            <w:tcW w:w="0" w:type="dxa"/>
            <w:vAlign w:val="bottom"/>
          </w:tcPr>
          <w:p>
            <w:pPr>
              <w:spacing w:after="0"/>
              <w:rPr>
                <w:sz w:val="1"/>
                <w:szCs w:val="1"/>
                <w:color w:val="auto"/>
              </w:rPr>
            </w:pPr>
          </w:p>
        </w:tc>
      </w:tr>
      <w:tr>
        <w:trPr>
          <w:trHeight w:val="251"/>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Scott Darling</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435,000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33,963</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468,963</w:t>
            </w:r>
          </w:p>
        </w:tc>
        <w:tc>
          <w:tcPr>
            <w:tcW w:w="140" w:type="dxa"/>
            <w:vAlign w:val="bottom"/>
          </w:tcPr>
          <w:p>
            <w:pPr>
              <w:spacing w:after="0"/>
              <w:rPr>
                <w:sz w:val="21"/>
                <w:szCs w:val="21"/>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435,000</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326,250</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33,963</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8,419,238</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9,214,452</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8,419,238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8,419,238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7715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4" w:lineRule="exact"/>
        <w:rPr>
          <w:sz w:val="20"/>
          <w:szCs w:val="20"/>
          <w:color w:val="auto"/>
        </w:rPr>
      </w:pPr>
    </w:p>
    <w:p>
      <w:pPr>
        <w:ind w:left="540" w:right="160" w:hanging="424"/>
        <w:spacing w:after="0" w:line="257"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these columns represent estimates of the premiums to maintain group health insurance continuation benefits pursuant to COBRA for the executive and the executive’s respective eligible dependents for 12 months. The amounts presented are based on estimates for maintaining group health insurance continuation benefits under our 2025 health insurance plans.</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accelerated RSUs in this table are calculated by multiplying the number of shares subject to acceleration by the closing price of our common stock on December 31, 2025, which was $43.73 per share. The value of the accelerated stock options is calculated by multiplying</w:t>
      </w:r>
    </w:p>
    <w:p>
      <w:pPr>
        <w:ind w:left="540"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number of shares subject to acceleration for each stock option by (y) the closing price per share minus the applicable exercise price per share.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Ratio Analysis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Item 402(u) of Regulation S-K, we are required to disclose the ratio of the annual total compensation of our principal executive officer to the median of the annual total compensation of all our employees (except our principal executive officer). During 2025, the principal executive officer of the Company was our CEO, Mr. Girouard. For 2025, Mr. Girouard’s annual total compensation, as disclosed in the 2025 Summary Compensation Table, was $9,670,835 and the median of the annual total compensation of all our employees was $284,342, resulting in a pay ratio of approximately 34:1. In accordance with Item 402(u) of Regulation S-K, we identified the median employee as of December 31, 2025 by (i) aggregating for each applicable employee (A) annual base salary for salaried employees (or hourly rate multiplied by the estimated annual work schedule, for hourly employees), (B) the target annual incentive compensation and (C) the estimated grant date fair value for employee equity awards granted in 2025 in accordance with FASB ASC Topic 718 and (ii) ranking this compensation measure for our employees from lowest to highest. We annualized the compensation of permanent employees that worked for less than the full year. This calculation was performed for all employees of the Company as of December 31, 2025, excluding Mr. Girouard. After identifying the median employee, we calculated annual total compensation for the median employee according to the methodology used to report the annual compensation of our Named Executive Officers in the Summary Compensation Table.</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pay ratio documented above is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 As a result, and as explained by the SEC when it adopted these rules, in considering the pay ratio disclosure, stockholders should keep in mind that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following table sets forth the compensation for Dave Girouard, our CEO and principal executive officer (“PEO”), and the average compensation for our non-PEO Named Executive Officers (“non-PEO NEOs”) for 2025, 2024, 2023, 2022 and 2021 (each a “Covered Year”), both as reported in the Summary Compensation Table and with certain adjustments to reflect the “compensation actually paid” to such individuals, as calculated in accordance with rules adopted by the SEC. “Compensation actually paid” does not reflect amounts actually realized by our PEO and Non-PEO NEOs and may be higher or lower than amounts, if any, that are actually realized by such individuals. The table below also provides information for each Covered Year regarding our cumulative total shareholder return, the cumulative return of our peer group, our net income (loss), and our revenue. Additional information regarding our compensation philosophy, the structure of our performance-based compensation programs, and compensation decisions made this year is described above in the section titled </w:t>
      </w:r>
      <w:r>
        <w:rPr>
          <w:rFonts w:ascii="Times New Roman" w:cs="Times New Roman" w:eastAsia="Times New Roman" w:hAnsi="Times New Roman"/>
          <w:sz w:val="18"/>
          <w:szCs w:val="18"/>
          <w:i w:val="1"/>
          <w:iCs w:val="1"/>
          <w:color w:val="auto"/>
        </w:rPr>
        <w:t>“Compensation Discussion and Analysis.”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Value of Initial Fixed $100</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Summary</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880" w:type="dxa"/>
            <w:vAlign w:val="bottom"/>
            <w:gridSpan w:val="4"/>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Investment Based on:</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2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7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Peer Group</w:t>
            </w: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1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12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9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9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13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12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11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Non-PEO</w:t>
            </w:r>
          </w:p>
        </w:tc>
        <w:tc>
          <w:tcPr>
            <w:tcW w:w="12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Non-PEO</w:t>
            </w:r>
          </w:p>
        </w:tc>
        <w:tc>
          <w:tcPr>
            <w:tcW w:w="9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9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138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24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Revenue from</w:t>
            </w:r>
          </w:p>
        </w:tc>
        <w:tc>
          <w:tcPr>
            <w:tcW w:w="0" w:type="dxa"/>
            <w:vAlign w:val="bottom"/>
          </w:tcPr>
          <w:p>
            <w:pPr>
              <w:spacing w:after="0"/>
              <w:rPr>
                <w:sz w:val="1"/>
                <w:szCs w:val="1"/>
                <w:color w:val="auto"/>
              </w:rPr>
            </w:pPr>
          </w:p>
        </w:tc>
      </w:tr>
      <w:tr>
        <w:trPr>
          <w:trHeight w:val="147"/>
        </w:trPr>
        <w:tc>
          <w:tcPr>
            <w:tcW w:w="260" w:type="dxa"/>
            <w:vAlign w:val="bottom"/>
            <w:tcBorders>
              <w:bottom w:val="single" w:sz="8" w:color="auto"/>
            </w:tcBorders>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3"/>
              </w:rPr>
              <w:t>for PEO ($)</w:t>
            </w:r>
            <w:r>
              <w:rPr>
                <w:rFonts w:ascii="Times New Roman" w:cs="Times New Roman" w:eastAsia="Times New Roman" w:hAnsi="Times New Roman"/>
                <w:sz w:val="15"/>
                <w:szCs w:val="15"/>
                <w:b w:val="1"/>
                <w:bCs w:val="1"/>
                <w:color w:val="auto"/>
                <w:w w:val="93"/>
                <w:vertAlign w:val="superscript"/>
              </w:rPr>
              <w:t>(1)</w:t>
            </w:r>
          </w:p>
        </w:tc>
        <w:tc>
          <w:tcPr>
            <w:tcW w:w="12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PEO ($)</w:t>
            </w:r>
            <w:r>
              <w:rPr>
                <w:rFonts w:ascii="Times New Roman" w:cs="Times New Roman" w:eastAsia="Times New Roman" w:hAnsi="Times New Roman"/>
                <w:sz w:val="6"/>
                <w:szCs w:val="6"/>
                <w:b w:val="1"/>
                <w:bCs w:val="1"/>
                <w:color w:val="auto"/>
              </w:rPr>
              <w:t>(1)(2)(3)</w:t>
            </w:r>
          </w:p>
        </w:tc>
        <w:tc>
          <w:tcPr>
            <w:tcW w:w="11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NEOs ($)</w:t>
            </w:r>
            <w:r>
              <w:rPr>
                <w:rFonts w:ascii="Times New Roman" w:cs="Times New Roman" w:eastAsia="Times New Roman" w:hAnsi="Times New Roman"/>
                <w:sz w:val="6"/>
                <w:szCs w:val="6"/>
                <w:b w:val="1"/>
                <w:bCs w:val="1"/>
                <w:color w:val="auto"/>
              </w:rPr>
              <w:t>(1)(4)(5)</w:t>
            </w:r>
          </w:p>
        </w:tc>
        <w:tc>
          <w:tcPr>
            <w:tcW w:w="12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NEOs ($)</w:t>
            </w:r>
            <w:r>
              <w:rPr>
                <w:rFonts w:ascii="Times New Roman" w:cs="Times New Roman" w:eastAsia="Times New Roman" w:hAnsi="Times New Roman"/>
                <w:sz w:val="6"/>
                <w:szCs w:val="6"/>
                <w:b w:val="1"/>
                <w:bCs w:val="1"/>
                <w:color w:val="auto"/>
              </w:rPr>
              <w:t>(1)(3)(5)</w:t>
            </w:r>
          </w:p>
        </w:tc>
        <w:tc>
          <w:tcPr>
            <w:tcW w:w="9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4"/>
              </w:rPr>
              <w:t>Return ($)</w:t>
            </w:r>
            <w:r>
              <w:rPr>
                <w:rFonts w:ascii="Times New Roman" w:cs="Times New Roman" w:eastAsia="Times New Roman" w:hAnsi="Times New Roman"/>
                <w:sz w:val="15"/>
                <w:szCs w:val="15"/>
                <w:b w:val="1"/>
                <w:bCs w:val="1"/>
                <w:color w:val="auto"/>
                <w:w w:val="94"/>
                <w:vertAlign w:val="superscript"/>
              </w:rPr>
              <w:t>(6)</w:t>
            </w:r>
          </w:p>
        </w:tc>
        <w:tc>
          <w:tcPr>
            <w:tcW w:w="9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4"/>
              </w:rPr>
              <w:t>Return ($)</w:t>
            </w:r>
            <w:r>
              <w:rPr>
                <w:rFonts w:ascii="Times New Roman" w:cs="Times New Roman" w:eastAsia="Times New Roman" w:hAnsi="Times New Roman"/>
                <w:sz w:val="15"/>
                <w:szCs w:val="15"/>
                <w:b w:val="1"/>
                <w:bCs w:val="1"/>
                <w:color w:val="auto"/>
                <w:w w:val="94"/>
                <w:vertAlign w:val="superscript"/>
              </w:rPr>
              <w:t>(7)</w:t>
            </w:r>
          </w:p>
        </w:tc>
        <w:tc>
          <w:tcPr>
            <w:tcW w:w="138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3"/>
                <w:szCs w:val="13"/>
                <w:b w:val="1"/>
                <w:bCs w:val="1"/>
                <w:color w:val="auto"/>
              </w:rPr>
              <w:t>(Loss) ($)</w:t>
            </w:r>
            <w:r>
              <w:rPr>
                <w:rFonts w:ascii="Times New Roman" w:cs="Times New Roman" w:eastAsia="Times New Roman" w:hAnsi="Times New Roman"/>
                <w:sz w:val="15"/>
                <w:szCs w:val="15"/>
                <w:b w:val="1"/>
                <w:bCs w:val="1"/>
                <w:color w:val="auto"/>
                <w:vertAlign w:val="superscript"/>
              </w:rPr>
              <w:t>(8)</w:t>
            </w:r>
          </w:p>
        </w:tc>
        <w:tc>
          <w:tcPr>
            <w:tcW w:w="12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Fees ($)</w:t>
            </w:r>
            <w:r>
              <w:rPr>
                <w:rFonts w:ascii="Times New Roman" w:cs="Times New Roman" w:eastAsia="Times New Roman" w:hAnsi="Times New Roman"/>
                <w:sz w:val="15"/>
                <w:szCs w:val="15"/>
                <w:b w:val="1"/>
                <w:bCs w:val="1"/>
                <w:color w:val="auto"/>
                <w:vertAlign w:val="superscript"/>
              </w:rPr>
              <w:t>(9)</w:t>
            </w:r>
          </w:p>
        </w:tc>
        <w:tc>
          <w:tcPr>
            <w:tcW w:w="0" w:type="dxa"/>
            <w:vAlign w:val="bottom"/>
          </w:tcPr>
          <w:p>
            <w:pPr>
              <w:spacing w:after="0"/>
              <w:rPr>
                <w:sz w:val="1"/>
                <w:szCs w:val="1"/>
                <w:color w:val="auto"/>
              </w:rPr>
            </w:pPr>
          </w:p>
        </w:tc>
      </w:tr>
      <w:tr>
        <w:trPr>
          <w:trHeight w:val="20"/>
        </w:trPr>
        <w:tc>
          <w:tcPr>
            <w:tcW w:w="1640" w:type="dxa"/>
            <w:vAlign w:val="bottom"/>
            <w:gridSpan w:val="2"/>
            <w:shd w:val="clear" w:color="auto" w:fill="BAD8EB"/>
          </w:tcPr>
          <w:p>
            <w:pPr>
              <w:spacing w:after="0" w:line="20" w:lineRule="exact"/>
              <w:rPr>
                <w:sz w:val="1"/>
                <w:szCs w:val="1"/>
                <w:color w:val="auto"/>
              </w:rPr>
            </w:pPr>
          </w:p>
        </w:tc>
        <w:tc>
          <w:tcPr>
            <w:tcW w:w="120" w:type="dxa"/>
            <w:vAlign w:val="bottom"/>
            <w:shd w:val="clear" w:color="auto" w:fill="BAD8EB"/>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BAD8EB"/>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BAD8EB"/>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BAD8EB"/>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BAD8EB"/>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BAD8EB"/>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BAD8EB"/>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BAD8EB"/>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BAD8E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4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BAD8EB"/>
          </w:tcPr>
          <w:p>
            <w:pPr>
              <w:spacing w:after="0"/>
              <w:rPr>
                <w:sz w:val="21"/>
                <w:szCs w:val="21"/>
                <w:color w:val="auto"/>
              </w:rPr>
            </w:pPr>
          </w:p>
        </w:tc>
        <w:tc>
          <w:tcPr>
            <w:tcW w:w="98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9,670,835</w:t>
            </w:r>
          </w:p>
        </w:tc>
        <w:tc>
          <w:tcPr>
            <w:tcW w:w="160" w:type="dxa"/>
            <w:vAlign w:val="bottom"/>
            <w:shd w:val="clear" w:color="auto" w:fill="BAD8EB"/>
          </w:tcPr>
          <w:p>
            <w:pPr>
              <w:spacing w:after="0"/>
              <w:rPr>
                <w:sz w:val="21"/>
                <w:szCs w:val="21"/>
                <w:color w:val="auto"/>
              </w:rPr>
            </w:pPr>
          </w:p>
        </w:tc>
        <w:tc>
          <w:tcPr>
            <w:tcW w:w="122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855,180</w:t>
            </w:r>
          </w:p>
        </w:tc>
        <w:tc>
          <w:tcPr>
            <w:tcW w:w="116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4,142,725</w:t>
            </w:r>
          </w:p>
        </w:tc>
        <w:tc>
          <w:tcPr>
            <w:tcW w:w="124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-1,239,801</w:t>
            </w:r>
          </w:p>
        </w:tc>
        <w:tc>
          <w:tcPr>
            <w:tcW w:w="94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148.39</w:t>
            </w:r>
          </w:p>
        </w:tc>
        <w:tc>
          <w:tcPr>
            <w:tcW w:w="94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273.21</w:t>
            </w:r>
          </w:p>
        </w:tc>
        <w:tc>
          <w:tcPr>
            <w:tcW w:w="138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53,601,000</w:t>
            </w:r>
          </w:p>
        </w:tc>
        <w:tc>
          <w:tcPr>
            <w:tcW w:w="1240" w:type="dxa"/>
            <w:vAlign w:val="bottom"/>
            <w:gridSpan w:val="2"/>
            <w:shd w:val="clear" w:color="auto" w:fill="BAD8EB"/>
          </w:tcPr>
          <w:p>
            <w:pPr>
              <w:jc w:val="right"/>
              <w:ind w:right="80"/>
              <w:spacing w:after="0"/>
              <w:rPr>
                <w:sz w:val="20"/>
                <w:szCs w:val="20"/>
                <w:color w:val="auto"/>
              </w:rPr>
            </w:pPr>
            <w:r>
              <w:rPr>
                <w:rFonts w:ascii="Times New Roman" w:cs="Times New Roman" w:eastAsia="Times New Roman" w:hAnsi="Times New Roman"/>
                <w:sz w:val="18"/>
                <w:szCs w:val="18"/>
                <w:color w:val="auto"/>
              </w:rPr>
              <w:t>950,011,000</w:t>
            </w:r>
          </w:p>
        </w:tc>
        <w:tc>
          <w:tcPr>
            <w:tcW w:w="0" w:type="dxa"/>
            <w:vAlign w:val="bottom"/>
          </w:tcPr>
          <w:p>
            <w:pPr>
              <w:spacing w:after="0"/>
              <w:rPr>
                <w:sz w:val="1"/>
                <w:szCs w:val="1"/>
                <w:color w:val="auto"/>
              </w:rPr>
            </w:pPr>
          </w:p>
        </w:tc>
      </w:tr>
      <w:tr>
        <w:trPr>
          <w:trHeight w:val="27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7,110,135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26,664,115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3,785,859</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13,940,702</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208.92</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220.25</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-128,581,000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635,466,000</w:t>
            </w:r>
          </w:p>
        </w:tc>
        <w:tc>
          <w:tcPr>
            <w:tcW w:w="0" w:type="dxa"/>
            <w:vAlign w:val="bottom"/>
          </w:tcPr>
          <w:p>
            <w:pPr>
              <w:spacing w:after="0"/>
              <w:rPr>
                <w:sz w:val="1"/>
                <w:szCs w:val="1"/>
                <w:color w:val="auto"/>
              </w:rPr>
            </w:pPr>
          </w:p>
        </w:tc>
      </w:tr>
      <w:tr>
        <w:trPr>
          <w:trHeight w:val="270"/>
        </w:trPr>
        <w:tc>
          <w:tcPr>
            <w:tcW w:w="164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gridSpan w:val="3"/>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7,115,630</w:t>
            </w:r>
          </w:p>
        </w:tc>
        <w:tc>
          <w:tcPr>
            <w:tcW w:w="122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26,075,312</w:t>
            </w:r>
          </w:p>
        </w:tc>
        <w:tc>
          <w:tcPr>
            <w:tcW w:w="116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4,039,507</w:t>
            </w:r>
          </w:p>
        </w:tc>
        <w:tc>
          <w:tcPr>
            <w:tcW w:w="124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17,571,433</w:t>
            </w:r>
          </w:p>
        </w:tc>
        <w:tc>
          <w:tcPr>
            <w:tcW w:w="94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138.65</w:t>
            </w:r>
          </w:p>
        </w:tc>
        <w:tc>
          <w:tcPr>
            <w:tcW w:w="94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161.22</w:t>
            </w:r>
          </w:p>
        </w:tc>
        <w:tc>
          <w:tcPr>
            <w:tcW w:w="138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-240,132,000</w:t>
            </w:r>
          </w:p>
        </w:tc>
        <w:tc>
          <w:tcPr>
            <w:tcW w:w="1240" w:type="dxa"/>
            <w:vAlign w:val="bottom"/>
            <w:gridSpan w:val="2"/>
            <w:shd w:val="clear" w:color="auto" w:fill="BAD8EB"/>
          </w:tcPr>
          <w:p>
            <w:pPr>
              <w:jc w:val="right"/>
              <w:ind w:right="80"/>
              <w:spacing w:after="0"/>
              <w:rPr>
                <w:sz w:val="20"/>
                <w:szCs w:val="20"/>
                <w:color w:val="auto"/>
              </w:rPr>
            </w:pPr>
            <w:r>
              <w:rPr>
                <w:rFonts w:ascii="Times New Roman" w:cs="Times New Roman" w:eastAsia="Times New Roman" w:hAnsi="Times New Roman"/>
                <w:sz w:val="18"/>
                <w:szCs w:val="18"/>
                <w:color w:val="auto"/>
              </w:rPr>
              <w:t>560,431,000</w:t>
            </w:r>
          </w:p>
        </w:tc>
        <w:tc>
          <w:tcPr>
            <w:tcW w:w="0" w:type="dxa"/>
            <w:vAlign w:val="bottom"/>
          </w:tcPr>
          <w:p>
            <w:pPr>
              <w:spacing w:after="0"/>
              <w:rPr>
                <w:sz w:val="1"/>
                <w:szCs w:val="1"/>
                <w:color w:val="auto"/>
              </w:rPr>
            </w:pPr>
          </w:p>
        </w:tc>
      </w:tr>
      <w:tr>
        <w:trPr>
          <w:trHeight w:val="27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9,609,205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-36,246,416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17,850,370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-13,737,932</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44.86</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102.14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-108,665,000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907,272,000</w:t>
            </w:r>
          </w:p>
        </w:tc>
        <w:tc>
          <w:tcPr>
            <w:tcW w:w="0" w:type="dxa"/>
            <w:vAlign w:val="bottom"/>
          </w:tcPr>
          <w:p>
            <w:pPr>
              <w:spacing w:after="0"/>
              <w:rPr>
                <w:sz w:val="1"/>
                <w:szCs w:val="1"/>
                <w:color w:val="auto"/>
              </w:rPr>
            </w:pPr>
          </w:p>
        </w:tc>
      </w:tr>
      <w:tr>
        <w:trPr>
          <w:trHeight w:val="270"/>
        </w:trPr>
        <w:tc>
          <w:tcPr>
            <w:tcW w:w="164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gridSpan w:val="3"/>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14,955,933</w:t>
            </w:r>
          </w:p>
        </w:tc>
        <w:tc>
          <w:tcPr>
            <w:tcW w:w="122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70,383,703</w:t>
            </w:r>
          </w:p>
        </w:tc>
        <w:tc>
          <w:tcPr>
            <w:tcW w:w="116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5,973,651</w:t>
            </w:r>
          </w:p>
        </w:tc>
        <w:tc>
          <w:tcPr>
            <w:tcW w:w="124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44,035,528</w:t>
            </w:r>
          </w:p>
        </w:tc>
        <w:tc>
          <w:tcPr>
            <w:tcW w:w="94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513.40</w:t>
            </w:r>
          </w:p>
        </w:tc>
        <w:tc>
          <w:tcPr>
            <w:tcW w:w="94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142.25</w:t>
            </w:r>
          </w:p>
        </w:tc>
        <w:tc>
          <w:tcPr>
            <w:tcW w:w="1380" w:type="dxa"/>
            <w:vAlign w:val="bottom"/>
            <w:gridSpan w:val="2"/>
            <w:shd w:val="clear" w:color="auto" w:fill="BAD8EB"/>
          </w:tcPr>
          <w:p>
            <w:pPr>
              <w:jc w:val="right"/>
              <w:ind w:right="160"/>
              <w:spacing w:after="0"/>
              <w:rPr>
                <w:sz w:val="20"/>
                <w:szCs w:val="20"/>
                <w:color w:val="auto"/>
              </w:rPr>
            </w:pPr>
            <w:r>
              <w:rPr>
                <w:rFonts w:ascii="Times New Roman" w:cs="Times New Roman" w:eastAsia="Times New Roman" w:hAnsi="Times New Roman"/>
                <w:sz w:val="18"/>
                <w:szCs w:val="18"/>
                <w:color w:val="auto"/>
              </w:rPr>
              <w:t>135,443,000</w:t>
            </w:r>
          </w:p>
        </w:tc>
        <w:tc>
          <w:tcPr>
            <w:tcW w:w="1240" w:type="dxa"/>
            <w:vAlign w:val="bottom"/>
            <w:gridSpan w:val="2"/>
            <w:shd w:val="clear" w:color="auto" w:fill="BAD8EB"/>
          </w:tcPr>
          <w:p>
            <w:pPr>
              <w:jc w:val="right"/>
              <w:ind w:right="80"/>
              <w:spacing w:after="0"/>
              <w:rPr>
                <w:sz w:val="20"/>
                <w:szCs w:val="20"/>
                <w:color w:val="auto"/>
              </w:rPr>
            </w:pPr>
            <w:r>
              <w:rPr>
                <w:rFonts w:ascii="Times New Roman" w:cs="Times New Roman" w:eastAsia="Times New Roman" w:hAnsi="Times New Roman"/>
                <w:sz w:val="18"/>
                <w:szCs w:val="18"/>
                <w:color w:val="auto"/>
              </w:rPr>
              <w:t>801,275,000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20" w:hanging="424"/>
        <w:spacing w:after="0" w:line="261"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base salary amounts have been updated from amounts previously reported in prior proxy statements, which reflected base salary in effect as of year-end, to reflect actual base salary paid.</w:t>
      </w:r>
    </w:p>
    <w:p>
      <w:pPr>
        <w:ind w:left="540" w:right="160" w:hanging="424"/>
        <w:spacing w:after="0" w:line="255"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does not mean that our PEO was actually paid those amounts in the listed year, but this is a dollar amount derived from the starting point of summary compensation table total compensation under the methodology prescribed under the SEC’s rules, as shown in the adjustment table below.</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Adjustments to Determine PEO Compensation Actually Paid</w:t>
            </w:r>
          </w:p>
        </w:tc>
        <w:tc>
          <w:tcPr>
            <w:tcW w:w="5240" w:type="dxa"/>
            <w:vAlign w:val="bottom"/>
          </w:tcPr>
          <w:p>
            <w:pPr>
              <w:spacing w:after="0"/>
              <w:rPr>
                <w:sz w:val="16"/>
                <w:szCs w:val="16"/>
                <w:color w:val="auto"/>
              </w:rPr>
            </w:pPr>
          </w:p>
        </w:tc>
        <w:tc>
          <w:tcPr>
            <w:tcW w:w="10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r>
      <w:tr>
        <w:trPr>
          <w:trHeight w:val="243"/>
        </w:trPr>
        <w:tc>
          <w:tcPr>
            <w:tcW w:w="9000" w:type="dxa"/>
            <w:vAlign w:val="bottom"/>
            <w:tcBorders>
              <w:top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Summary Compensation Table Total for PEO ($)</w:t>
            </w:r>
          </w:p>
        </w:tc>
        <w:tc>
          <w:tcPr>
            <w:tcW w:w="100" w:type="dxa"/>
            <w:vAlign w:val="bottom"/>
            <w:tcBorders>
              <w:top w:val="single" w:sz="8" w:color="BAD8EB"/>
            </w:tcBorders>
            <w:shd w:val="clear" w:color="auto" w:fill="BAD8EB"/>
          </w:tcPr>
          <w:p>
            <w:pPr>
              <w:spacing w:after="0"/>
              <w:rPr>
                <w:sz w:val="21"/>
                <w:szCs w:val="21"/>
                <w:color w:val="auto"/>
              </w:rPr>
            </w:pPr>
          </w:p>
        </w:tc>
        <w:tc>
          <w:tcPr>
            <w:tcW w:w="960" w:type="dxa"/>
            <w:vAlign w:val="bottom"/>
            <w:tcBorders>
              <w:top w:val="single" w:sz="8" w:color="auto"/>
            </w:tcBorders>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9,670,835</w:t>
            </w:r>
          </w:p>
        </w:tc>
        <w:tc>
          <w:tcPr>
            <w:tcW w:w="60" w:type="dxa"/>
            <w:vAlign w:val="bottom"/>
            <w:tcBorders>
              <w:top w:val="single" w:sz="8" w:color="BAD8EB"/>
            </w:tcBorders>
            <w:shd w:val="clear" w:color="auto" w:fill="BAD8EB"/>
          </w:tcPr>
          <w:p>
            <w:pPr>
              <w:spacing w:after="0"/>
              <w:rPr>
                <w:sz w:val="21"/>
                <w:szCs w:val="21"/>
                <w:color w:val="auto"/>
              </w:rPr>
            </w:pPr>
          </w:p>
        </w:tc>
      </w:tr>
      <w:tr>
        <w:trPr>
          <w:trHeight w:val="270"/>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Grant Date Fair Value of Equity Awards in Summary Compensation Table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-8,597,565</w:t>
            </w:r>
          </w:p>
        </w:tc>
      </w:tr>
      <w:tr>
        <w:trPr>
          <w:trHeight w:val="270"/>
        </w:trPr>
        <w:tc>
          <w:tcPr>
            <w:tcW w:w="900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i w:val="1"/>
                <w:iCs w:val="1"/>
                <w:color w:val="auto"/>
                <w:w w:val="99"/>
              </w:rPr>
              <w:t xml:space="preserve">Plus </w:t>
            </w:r>
            <w:r>
              <w:rPr>
                <w:rFonts w:ascii="Times New Roman" w:cs="Times New Roman" w:eastAsia="Times New Roman" w:hAnsi="Times New Roman"/>
                <w:sz w:val="18"/>
                <w:szCs w:val="18"/>
                <w:color w:val="auto"/>
                <w:w w:val="99"/>
              </w:rPr>
              <w:t>Year End Fair Value of Equity Awards Granted During Year That are Outstanding and Unvested at Fiscal Year End ($)</w:t>
            </w:r>
          </w:p>
        </w:tc>
        <w:tc>
          <w:tcPr>
            <w:tcW w:w="1120" w:type="dxa"/>
            <w:vAlign w:val="bottom"/>
            <w:gridSpan w:val="3"/>
            <w:shd w:val="clear" w:color="auto" w:fill="BAD8EB"/>
          </w:tcPr>
          <w:p>
            <w:pPr>
              <w:jc w:val="right"/>
              <w:ind w:right="60"/>
              <w:spacing w:after="0"/>
              <w:rPr>
                <w:sz w:val="20"/>
                <w:szCs w:val="20"/>
                <w:color w:val="auto"/>
              </w:rPr>
            </w:pPr>
            <w:r>
              <w:rPr>
                <w:rFonts w:ascii="Times New Roman" w:cs="Times New Roman" w:eastAsia="Times New Roman" w:hAnsi="Times New Roman"/>
                <w:sz w:val="18"/>
                <w:szCs w:val="18"/>
                <w:color w:val="auto"/>
              </w:rPr>
              <w:t>5,039,086</w:t>
            </w:r>
          </w:p>
        </w:tc>
      </w:tr>
      <w:tr>
        <w:trPr>
          <w:trHeight w:val="270"/>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Year over Year Change in Fair Value of Outstanding and Unvested Equity Awards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-6,115,999</w:t>
            </w:r>
          </w:p>
        </w:tc>
      </w:tr>
      <w:tr>
        <w:trPr>
          <w:trHeight w:val="270"/>
        </w:trPr>
        <w:tc>
          <w:tcPr>
            <w:tcW w:w="900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Fair Value as of Vesting Date of Equity Awards Granted and Vested in the Year ($)</w:t>
            </w:r>
          </w:p>
        </w:tc>
        <w:tc>
          <w:tcPr>
            <w:tcW w:w="1120" w:type="dxa"/>
            <w:vAlign w:val="bottom"/>
            <w:gridSpan w:val="3"/>
            <w:shd w:val="clear" w:color="auto" w:fill="BAD8EB"/>
          </w:tcPr>
          <w:p>
            <w:pPr>
              <w:jc w:val="right"/>
              <w:ind w:right="60"/>
              <w:spacing w:after="0"/>
              <w:rPr>
                <w:sz w:val="20"/>
                <w:szCs w:val="20"/>
                <w:color w:val="auto"/>
              </w:rPr>
            </w:pPr>
            <w:r>
              <w:rPr>
                <w:rFonts w:ascii="Times New Roman" w:cs="Times New Roman" w:eastAsia="Times New Roman" w:hAnsi="Times New Roman"/>
                <w:sz w:val="18"/>
                <w:szCs w:val="18"/>
                <w:color w:val="auto"/>
              </w:rPr>
              <w:t>1,599,695</w:t>
            </w:r>
          </w:p>
        </w:tc>
      </w:tr>
      <w:tr>
        <w:trPr>
          <w:trHeight w:val="252"/>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Change in Fair Value between the End of the Prior Year and the Vesting Date of Equity Awards Granted in Prior Years</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9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that Vested in the Year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-740,872</w:t>
            </w:r>
          </w:p>
        </w:tc>
      </w:tr>
      <w:tr>
        <w:trPr>
          <w:trHeight w:val="270"/>
        </w:trPr>
        <w:tc>
          <w:tcPr>
            <w:tcW w:w="900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Fair Value at the End of the Prior Year of Equity Awards that Failed to Meet Vesting Conditions in the Year ($)</w:t>
            </w:r>
          </w:p>
        </w:tc>
        <w:tc>
          <w:tcPr>
            <w:tcW w:w="1120" w:type="dxa"/>
            <w:vAlign w:val="bottom"/>
            <w:gridSpan w:val="3"/>
            <w:shd w:val="clear" w:color="auto" w:fill="BAD8EB"/>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70"/>
        </w:trPr>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to PEO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855,180</w:t>
            </w:r>
          </w:p>
        </w:tc>
      </w:tr>
    </w:tbl>
    <w:p>
      <w:pPr>
        <w:spacing w:after="0" w:line="225" w:lineRule="exact"/>
        <w:rPr>
          <w:sz w:val="20"/>
          <w:szCs w:val="20"/>
          <w:color w:val="auto"/>
        </w:rPr>
      </w:pPr>
    </w:p>
    <w:p>
      <w:pPr>
        <w:ind w:left="540" w:right="80" w:hanging="424"/>
        <w:spacing w:after="0" w:line="266"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adjustments to determine “compensation actually paid,” we computed the fair value of stock option awards and restricted stock units in accordance with FASB ASC Topic 718 as of the end of the relevant fiscal year, other than fair values of equity awards that vested in the Covered Year, which are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54" w:lineRule="auto"/>
        <w:rPr>
          <w:sz w:val="20"/>
          <w:szCs w:val="20"/>
          <w:color w:val="auto"/>
        </w:rPr>
      </w:pPr>
      <w:r>
        <w:rPr>
          <w:rFonts w:ascii="Times New Roman" w:cs="Times New Roman" w:eastAsia="Times New Roman" w:hAnsi="Times New Roman"/>
          <w:sz w:val="18"/>
          <w:szCs w:val="18"/>
          <w:color w:val="auto"/>
        </w:rPr>
        <w:t>valued as of the applicable vesting date. The valuation assumptions used in the calculation of such amounts are set forth in the notes to our consolidated financial statements included in our Annual Report on Form 10-K for the fiscal year ended December 31, 2025 as filed with the SEC on February 10, 2026. The dollar value of Mr. Gu’s Performance Award in 2022 represents the grant date fair value calculated on the basis of a Monte Carlo simulation pursuant to assumptions set forth in the notes to our consolidated financial statements included in our Annual Report on Form 10-K for the fiscal year ended December 31, 2022 as filed with the SEC on February 16, 2023.</w:t>
      </w:r>
    </w:p>
    <w:p>
      <w:pPr>
        <w:spacing w:after="0" w:line="3" w:lineRule="exact"/>
        <w:rPr>
          <w:sz w:val="20"/>
          <w:szCs w:val="20"/>
          <w:color w:val="auto"/>
        </w:rPr>
      </w:pPr>
    </w:p>
    <w:p>
      <w:pPr>
        <w:ind w:left="54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is the average of the summary compensation table total compensation for the non-PEO NEOs in each listed year. The names of the non-PEO NEOs for each Covered Year are: for 2025, Sanjay Datta, Paul Gu and Scott Darling; for 2024, Sanjay Datta, Paul Gu and Scott Darling; for 2023, Sanjay Datta, Paul Gu and Scott Darling; for 2022, Sanjay Datta, Paul Gu, Scott Darling and Anna Counselman; and for 2021, Sanjay Datta, Paul Gu, Anna Counselman and Alison Nicoll.</w:t>
      </w:r>
    </w:p>
    <w:p>
      <w:pPr>
        <w:spacing w:after="0" w:line="1"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is the average of compensation actually paid for the non-PEO NEOs in each Covered Year. Compensation actually paid does not mean that these Named Executive Officers were actually paid those amounts in the listed year, but this is a dollar amount derived from the starting point of summary compensation table total compensation under the methodology prescribed under the SEC’s rules, as shown in the adjustment table below.</w:t>
      </w: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Adjustments to Determine Average Non-PEO NEO Compensation Actually Paid</w:t>
            </w:r>
          </w:p>
        </w:tc>
        <w:tc>
          <w:tcPr>
            <w:tcW w:w="4060" w:type="dxa"/>
            <w:vAlign w:val="bottom"/>
          </w:tcPr>
          <w:p>
            <w:pPr>
              <w:spacing w:after="0"/>
              <w:rPr>
                <w:sz w:val="16"/>
                <w:szCs w:val="16"/>
                <w:color w:val="auto"/>
              </w:rPr>
            </w:pPr>
          </w:p>
        </w:tc>
        <w:tc>
          <w:tcPr>
            <w:tcW w:w="10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r>
      <w:tr>
        <w:trPr>
          <w:trHeight w:val="243"/>
        </w:trPr>
        <w:tc>
          <w:tcPr>
            <w:tcW w:w="9000" w:type="dxa"/>
            <w:vAlign w:val="bottom"/>
            <w:tcBorders>
              <w:top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Average Summary Compensation Table Total for Non-PEO NEOs ($)</w:t>
            </w:r>
          </w:p>
        </w:tc>
        <w:tc>
          <w:tcPr>
            <w:tcW w:w="100" w:type="dxa"/>
            <w:vAlign w:val="bottom"/>
            <w:tcBorders>
              <w:top w:val="single" w:sz="8" w:color="BAD8EB"/>
            </w:tcBorders>
            <w:shd w:val="clear" w:color="auto" w:fill="BAD8EB"/>
          </w:tcPr>
          <w:p>
            <w:pPr>
              <w:spacing w:after="0"/>
              <w:rPr>
                <w:sz w:val="21"/>
                <w:szCs w:val="21"/>
                <w:color w:val="auto"/>
              </w:rPr>
            </w:pPr>
          </w:p>
        </w:tc>
        <w:tc>
          <w:tcPr>
            <w:tcW w:w="960" w:type="dxa"/>
            <w:vAlign w:val="bottom"/>
            <w:tcBorders>
              <w:top w:val="single" w:sz="8" w:color="auto"/>
            </w:tcBorders>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4,142,725</w:t>
            </w:r>
          </w:p>
        </w:tc>
        <w:tc>
          <w:tcPr>
            <w:tcW w:w="60" w:type="dxa"/>
            <w:vAlign w:val="bottom"/>
            <w:tcBorders>
              <w:top w:val="single" w:sz="8" w:color="BAD8EB"/>
            </w:tcBorders>
            <w:shd w:val="clear" w:color="auto" w:fill="BAD8EB"/>
          </w:tcPr>
          <w:p>
            <w:pPr>
              <w:spacing w:after="0"/>
              <w:rPr>
                <w:sz w:val="21"/>
                <w:szCs w:val="21"/>
                <w:color w:val="auto"/>
              </w:rPr>
            </w:pPr>
          </w:p>
        </w:tc>
      </w:tr>
      <w:tr>
        <w:trPr>
          <w:trHeight w:val="270"/>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Non-PEO NEO Average Grant Date Fair Value of Equity Awards in Summary Compensation Table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-3,297,756</w:t>
            </w:r>
          </w:p>
        </w:tc>
      </w:tr>
      <w:tr>
        <w:trPr>
          <w:trHeight w:val="252"/>
        </w:trPr>
        <w:tc>
          <w:tcPr>
            <w:tcW w:w="900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Non-PEO NEO Average Year End Fair Value of Equity Awards Granted During Year That are Outstanding and</w:t>
            </w:r>
          </w:p>
        </w:tc>
        <w:tc>
          <w:tcPr>
            <w:tcW w:w="100" w:type="dxa"/>
            <w:vAlign w:val="bottom"/>
            <w:shd w:val="clear" w:color="auto" w:fill="BAD8EB"/>
          </w:tcPr>
          <w:p>
            <w:pPr>
              <w:spacing w:after="0"/>
              <w:rPr>
                <w:sz w:val="21"/>
                <w:szCs w:val="21"/>
                <w:color w:val="auto"/>
              </w:rPr>
            </w:pPr>
          </w:p>
        </w:tc>
        <w:tc>
          <w:tcPr>
            <w:tcW w:w="960" w:type="dxa"/>
            <w:vAlign w:val="bottom"/>
            <w:shd w:val="clear" w:color="auto" w:fill="BAD8EB"/>
          </w:tcPr>
          <w:p>
            <w:pPr>
              <w:spacing w:after="0"/>
              <w:rPr>
                <w:sz w:val="21"/>
                <w:szCs w:val="21"/>
                <w:color w:val="auto"/>
              </w:rPr>
            </w:pPr>
          </w:p>
        </w:tc>
        <w:tc>
          <w:tcPr>
            <w:tcW w:w="60" w:type="dxa"/>
            <w:vAlign w:val="bottom"/>
            <w:shd w:val="clear" w:color="auto" w:fill="BAD8EB"/>
          </w:tcPr>
          <w:p>
            <w:pPr>
              <w:spacing w:after="0"/>
              <w:rPr>
                <w:sz w:val="21"/>
                <w:szCs w:val="21"/>
                <w:color w:val="auto"/>
              </w:rPr>
            </w:pPr>
          </w:p>
        </w:tc>
      </w:tr>
      <w:tr>
        <w:trPr>
          <w:trHeight w:val="234"/>
        </w:trPr>
        <w:tc>
          <w:tcPr>
            <w:tcW w:w="9000" w:type="dxa"/>
            <w:vAlign w:val="bottom"/>
            <w:gridSpan w:val="2"/>
            <w:shd w:val="clear" w:color="auto" w:fill="BAD8EB"/>
          </w:tcPr>
          <w:p>
            <w:pPr>
              <w:ind w:left="180"/>
              <w:spacing w:after="0"/>
              <w:rPr>
                <w:sz w:val="20"/>
                <w:szCs w:val="20"/>
                <w:color w:val="auto"/>
              </w:rPr>
            </w:pPr>
            <w:r>
              <w:rPr>
                <w:rFonts w:ascii="Times New Roman" w:cs="Times New Roman" w:eastAsia="Times New Roman" w:hAnsi="Times New Roman"/>
                <w:sz w:val="18"/>
                <w:szCs w:val="18"/>
                <w:color w:val="auto"/>
              </w:rPr>
              <w:t>Unvested at Fiscal Year End ($)</w:t>
            </w:r>
          </w:p>
        </w:tc>
        <w:tc>
          <w:tcPr>
            <w:tcW w:w="1120" w:type="dxa"/>
            <w:vAlign w:val="bottom"/>
            <w:gridSpan w:val="3"/>
            <w:shd w:val="clear" w:color="auto" w:fill="BAD8EB"/>
          </w:tcPr>
          <w:p>
            <w:pPr>
              <w:jc w:val="right"/>
              <w:ind w:right="60"/>
              <w:spacing w:after="0"/>
              <w:rPr>
                <w:sz w:val="20"/>
                <w:szCs w:val="20"/>
                <w:color w:val="auto"/>
              </w:rPr>
            </w:pPr>
            <w:r>
              <w:rPr>
                <w:rFonts w:ascii="Times New Roman" w:cs="Times New Roman" w:eastAsia="Times New Roman" w:hAnsi="Times New Roman"/>
                <w:sz w:val="18"/>
                <w:szCs w:val="18"/>
                <w:color w:val="auto"/>
              </w:rPr>
              <w:t>1,863,381</w:t>
            </w:r>
          </w:p>
        </w:tc>
      </w:tr>
      <w:tr>
        <w:trPr>
          <w:trHeight w:val="270"/>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Non-PEO NEO Average Year over Year Change in Fair Value of Outstanding and Unvested Equity Awards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-3,703,719</w:t>
            </w:r>
          </w:p>
        </w:tc>
      </w:tr>
      <w:tr>
        <w:trPr>
          <w:trHeight w:val="270"/>
        </w:trPr>
        <w:tc>
          <w:tcPr>
            <w:tcW w:w="900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Non-PEO NEO Average Fair Value as of Vesting Date of Equity Awards Granted and Vested in the Year ($)</w:t>
            </w:r>
          </w:p>
        </w:tc>
        <w:tc>
          <w:tcPr>
            <w:tcW w:w="1120" w:type="dxa"/>
            <w:vAlign w:val="bottom"/>
            <w:gridSpan w:val="3"/>
            <w:shd w:val="clear" w:color="auto" w:fill="BAD8EB"/>
          </w:tcPr>
          <w:p>
            <w:pPr>
              <w:jc w:val="right"/>
              <w:ind w:right="60"/>
              <w:spacing w:after="0"/>
              <w:rPr>
                <w:sz w:val="20"/>
                <w:szCs w:val="20"/>
                <w:color w:val="auto"/>
              </w:rPr>
            </w:pPr>
            <w:r>
              <w:rPr>
                <w:rFonts w:ascii="Times New Roman" w:cs="Times New Roman" w:eastAsia="Times New Roman" w:hAnsi="Times New Roman"/>
                <w:sz w:val="18"/>
                <w:szCs w:val="18"/>
                <w:color w:val="auto"/>
              </w:rPr>
              <w:t>511,841</w:t>
            </w:r>
          </w:p>
        </w:tc>
      </w:tr>
      <w:tr>
        <w:trPr>
          <w:trHeight w:val="252"/>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Non-PEO NEO Average Change in Fair Value between the End of the Prior Year and the Vesting Date of Equity</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9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Awards Granted in Prior Years that Vested in the Year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-756,272</w:t>
            </w:r>
          </w:p>
        </w:tc>
      </w:tr>
      <w:tr>
        <w:trPr>
          <w:trHeight w:val="252"/>
        </w:trPr>
        <w:tc>
          <w:tcPr>
            <w:tcW w:w="900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Non-PEO NEO Average Fair Value at the End of the Prior Year of Equity Awards that Failed to Meet Vesting</w:t>
            </w:r>
          </w:p>
        </w:tc>
        <w:tc>
          <w:tcPr>
            <w:tcW w:w="100" w:type="dxa"/>
            <w:vAlign w:val="bottom"/>
            <w:shd w:val="clear" w:color="auto" w:fill="BAD8EB"/>
          </w:tcPr>
          <w:p>
            <w:pPr>
              <w:spacing w:after="0"/>
              <w:rPr>
                <w:sz w:val="21"/>
                <w:szCs w:val="21"/>
                <w:color w:val="auto"/>
              </w:rPr>
            </w:pPr>
          </w:p>
        </w:tc>
        <w:tc>
          <w:tcPr>
            <w:tcW w:w="960" w:type="dxa"/>
            <w:vAlign w:val="bottom"/>
            <w:shd w:val="clear" w:color="auto" w:fill="BAD8EB"/>
          </w:tcPr>
          <w:p>
            <w:pPr>
              <w:spacing w:after="0"/>
              <w:rPr>
                <w:sz w:val="21"/>
                <w:szCs w:val="21"/>
                <w:color w:val="auto"/>
              </w:rPr>
            </w:pPr>
          </w:p>
        </w:tc>
        <w:tc>
          <w:tcPr>
            <w:tcW w:w="60" w:type="dxa"/>
            <w:vAlign w:val="bottom"/>
            <w:shd w:val="clear" w:color="auto" w:fill="BAD8EB"/>
          </w:tcPr>
          <w:p>
            <w:pPr>
              <w:spacing w:after="0"/>
              <w:rPr>
                <w:sz w:val="21"/>
                <w:szCs w:val="21"/>
                <w:color w:val="auto"/>
              </w:rPr>
            </w:pPr>
          </w:p>
        </w:tc>
      </w:tr>
      <w:tr>
        <w:trPr>
          <w:trHeight w:val="234"/>
        </w:trPr>
        <w:tc>
          <w:tcPr>
            <w:tcW w:w="9000" w:type="dxa"/>
            <w:vAlign w:val="bottom"/>
            <w:gridSpan w:val="2"/>
            <w:shd w:val="clear" w:color="auto" w:fill="BAD8EB"/>
          </w:tcPr>
          <w:p>
            <w:pPr>
              <w:ind w:left="180"/>
              <w:spacing w:after="0"/>
              <w:rPr>
                <w:sz w:val="20"/>
                <w:szCs w:val="20"/>
                <w:color w:val="auto"/>
              </w:rPr>
            </w:pPr>
            <w:r>
              <w:rPr>
                <w:rFonts w:ascii="Times New Roman" w:cs="Times New Roman" w:eastAsia="Times New Roman" w:hAnsi="Times New Roman"/>
                <w:sz w:val="18"/>
                <w:szCs w:val="18"/>
                <w:color w:val="auto"/>
              </w:rPr>
              <w:t>Conditions in the Year ($)</w:t>
            </w:r>
          </w:p>
        </w:tc>
        <w:tc>
          <w:tcPr>
            <w:tcW w:w="1120" w:type="dxa"/>
            <w:vAlign w:val="bottom"/>
            <w:gridSpan w:val="3"/>
            <w:shd w:val="clear" w:color="auto" w:fill="BAD8EB"/>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70"/>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Compensation Actually Paid to Non-PEO NEOs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-1,239,801</w:t>
            </w:r>
          </w:p>
        </w:tc>
      </w:tr>
    </w:tbl>
    <w:p>
      <w:pPr>
        <w:spacing w:after="0" w:line="225" w:lineRule="exact"/>
        <w:rPr>
          <w:sz w:val="20"/>
          <w:szCs w:val="20"/>
          <w:color w:val="auto"/>
        </w:rPr>
      </w:pPr>
    </w:p>
    <w:p>
      <w:pPr>
        <w:ind w:left="540" w:right="240" w:hanging="424"/>
        <w:spacing w:after="0" w:line="261"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is calculated by assuming that a $100 investment was made at the close of trading on the first full day of trading of our stock (December 16, 2020) and reinvesting all dividends until the last day of each reported fiscal year.</w:t>
      </w:r>
    </w:p>
    <w:p>
      <w:pPr>
        <w:ind w:left="540" w:right="220" w:hanging="424"/>
        <w:spacing w:after="0" w:line="250"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used is the S&amp;P Information Technology index, as used in the Company’s performance graph in our annual report. Total shareholder return is calculated by assuming that a $100 investment was made at the close of trading on the first full day of trading of our stock (December 16, 2020) and reinvesting all dividends until the last day of each reported fiscal year.</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Company’s net income (loss) reflected in the Company’s audited financial statements.</w:t>
      </w:r>
    </w:p>
    <w:p>
      <w:pPr>
        <w:spacing w:after="0" w:line="9" w:lineRule="exact"/>
        <w:rPr>
          <w:rFonts w:ascii="Times New Roman" w:cs="Times New Roman" w:eastAsia="Times New Roman" w:hAnsi="Times New Roman"/>
          <w:sz w:val="18"/>
          <w:szCs w:val="18"/>
          <w:color w:val="auto"/>
        </w:rPr>
      </w:pPr>
    </w:p>
    <w:p>
      <w:pPr>
        <w:ind w:left="540" w:right="60" w:hanging="424"/>
        <w:spacing w:after="0" w:line="255"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Company’s assessment, revenue from fees is the most important financial performance measure (other than stock price) used by the Company in 2025 to link compensation actually paid to performance. The dollar amounts reported are the Company’s revenue from fees reflected in the Company’s audited financial statements.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82"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Tabular List of Most Important 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97155</wp:posOffset>
            </wp:positionV>
            <wp:extent cx="474916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6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-119380</wp:posOffset>
            </wp:positionV>
            <wp:extent cx="85725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0" cy="137160"/>
                    </a:xfrm>
                    <a:prstGeom prst="rect">
                      <a:avLst/>
                    </a:prstGeom>
                    <a:noFill/>
                  </pic:spPr>
                </pic:pic>
              </a:graphicData>
            </a:graphic>
          </wp:anchor>
        </w:drawing>
      </w:r>
    </w:p>
    <w:p>
      <w:pPr>
        <w:spacing w:after="0" w:line="43" w:lineRule="exact"/>
        <w:rPr>
          <w:sz w:val="20"/>
          <w:szCs w:val="20"/>
          <w:color w:val="auto"/>
        </w:rPr>
      </w:pPr>
    </w:p>
    <w:p>
      <w:pPr>
        <w:ind w:left="1880"/>
        <w:spacing w:after="0"/>
        <w:tabs>
          <w:tab w:leader="none" w:pos="8300" w:val="left"/>
        </w:tabs>
        <w:rPr>
          <w:sz w:val="20"/>
          <w:szCs w:val="20"/>
          <w:color w:val="auto"/>
        </w:rPr>
      </w:pPr>
      <w:r>
        <w:rPr>
          <w:rFonts w:ascii="Times New Roman" w:cs="Times New Roman" w:eastAsia="Times New Roman" w:hAnsi="Times New Roman"/>
          <w:sz w:val="18"/>
          <w:szCs w:val="18"/>
          <w:color w:val="auto"/>
        </w:rPr>
        <w:t>Revenue from fees</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17145</wp:posOffset>
            </wp:positionV>
            <wp:extent cx="474916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-119380</wp:posOffset>
            </wp:positionV>
            <wp:extent cx="85725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0" cy="137160"/>
                    </a:xfrm>
                    <a:prstGeom prst="rect">
                      <a:avLst/>
                    </a:prstGeom>
                    <a:noFill/>
                  </pic:spPr>
                </pic:pic>
              </a:graphicData>
            </a:graphic>
          </wp:anchor>
        </w:drawing>
      </w:r>
    </w:p>
    <w:p>
      <w:pPr>
        <w:spacing w:after="0" w:line="20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Stock price, revenue from fees and net income are the only financial performance measures we used in 2025 to link compensation to company performance.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Relationship Descriptions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graphs illustrate the relationship between compensation actually paid for the Covered Years and (i) our cumulative total shareholder return and our peer group’s cumulative total shareholder return, (ii) our net income and (iii) our revenue from fees.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Actually Paid vs. Total Shareholder Returns of the Company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172720</wp:posOffset>
            </wp:positionV>
            <wp:extent cx="4166235" cy="2717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6623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Actually Paid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172720</wp:posOffset>
            </wp:positionV>
            <wp:extent cx="4114800" cy="27774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11480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Actually Paid vs. Revenue from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172720</wp:posOffset>
            </wp:positionV>
            <wp:extent cx="4114800" cy="26314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1480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139"/>
          </w:cols>
          <w:pgMar w:left="320" w:top="482"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425700" cy="325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25700" cy="325755"/>
                    </a:xfrm>
                    <a:prstGeom prst="rect">
                      <a:avLst/>
                    </a:prstGeom>
                    <a:noFill/>
                  </pic:spPr>
                </pic:pic>
              </a:graphicData>
            </a:graphic>
          </wp:anchor>
        </w:drawing>
      </w:r>
    </w:p>
    <w:p>
      <w:pPr>
        <w:spacing w:after="0" w:line="41" w:lineRule="exact"/>
        <w:rPr>
          <w:sz w:val="20"/>
          <w:szCs w:val="20"/>
          <w:color w:val="auto"/>
        </w:rPr>
      </w:pPr>
    </w:p>
    <w:p>
      <w:pPr>
        <w:ind w:left="300" w:right="220" w:hanging="179"/>
        <w:spacing w:after="0" w:line="282" w:lineRule="auto"/>
        <w:rPr>
          <w:sz w:val="20"/>
          <w:szCs w:val="20"/>
          <w:color w:val="auto"/>
        </w:rPr>
      </w:pPr>
      <w:r>
        <w:rPr>
          <w:rFonts w:ascii="Times New Roman" w:cs="Times New Roman" w:eastAsia="Times New Roman" w:hAnsi="Times New Roman"/>
          <w:sz w:val="18"/>
          <w:szCs w:val="18"/>
          <w:color w:val="auto"/>
        </w:rPr>
        <w:t>Equity compensation plans approved by stockholders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49"/>
        </w:trPr>
        <w:tc>
          <w:tcPr>
            <w:tcW w:w="460" w:type="dxa"/>
            <w:vAlign w:val="bottom"/>
          </w:tcPr>
          <w:p>
            <w:pPr>
              <w:spacing w:after="0"/>
              <w:rPr>
                <w:sz w:val="12"/>
                <w:szCs w:val="12"/>
                <w:color w:val="auto"/>
              </w:rPr>
            </w:pPr>
          </w:p>
        </w:tc>
        <w:tc>
          <w:tcPr>
            <w:tcW w:w="2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8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148"/>
        </w:trPr>
        <w:tc>
          <w:tcPr>
            <w:tcW w:w="460" w:type="dxa"/>
            <w:vAlign w:val="bottom"/>
          </w:tcPr>
          <w:p>
            <w:pPr>
              <w:spacing w:after="0"/>
              <w:rPr>
                <w:sz w:val="12"/>
                <w:szCs w:val="12"/>
                <w:color w:val="auto"/>
              </w:rPr>
            </w:pPr>
          </w:p>
        </w:tc>
        <w:tc>
          <w:tcPr>
            <w:tcW w:w="24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8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148"/>
        </w:trPr>
        <w:tc>
          <w:tcPr>
            <w:tcW w:w="460" w:type="dxa"/>
            <w:vAlign w:val="bottom"/>
          </w:tcPr>
          <w:p>
            <w:pPr>
              <w:spacing w:after="0"/>
              <w:rPr>
                <w:sz w:val="12"/>
                <w:szCs w:val="12"/>
                <w:color w:val="auto"/>
              </w:rPr>
            </w:pPr>
          </w:p>
        </w:tc>
        <w:tc>
          <w:tcPr>
            <w:tcW w:w="2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8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148"/>
        </w:trPr>
        <w:tc>
          <w:tcPr>
            <w:tcW w:w="460" w:type="dxa"/>
            <w:vAlign w:val="bottom"/>
          </w:tcPr>
          <w:p>
            <w:pPr>
              <w:spacing w:after="0"/>
              <w:rPr>
                <w:sz w:val="12"/>
                <w:szCs w:val="12"/>
                <w:color w:val="auto"/>
              </w:rPr>
            </w:pPr>
          </w:p>
        </w:tc>
        <w:tc>
          <w:tcPr>
            <w:tcW w:w="2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48"/>
        </w:trPr>
        <w:tc>
          <w:tcPr>
            <w:tcW w:w="460" w:type="dxa"/>
            <w:vAlign w:val="bottom"/>
          </w:tcPr>
          <w:p>
            <w:pPr>
              <w:spacing w:after="0"/>
              <w:rPr>
                <w:sz w:val="12"/>
                <w:szCs w:val="12"/>
                <w:color w:val="auto"/>
              </w:rPr>
            </w:pPr>
          </w:p>
        </w:tc>
        <w:tc>
          <w:tcPr>
            <w:tcW w:w="2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8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 the</w:t>
            </w:r>
          </w:p>
        </w:tc>
      </w:tr>
      <w:tr>
        <w:trPr>
          <w:trHeight w:val="173"/>
        </w:trPr>
        <w:tc>
          <w:tcPr>
            <w:tcW w:w="460" w:type="dxa"/>
            <w:vAlign w:val="bottom"/>
          </w:tcPr>
          <w:p>
            <w:pPr>
              <w:spacing w:after="0"/>
              <w:rPr>
                <w:sz w:val="15"/>
                <w:szCs w:val="15"/>
                <w:color w:val="auto"/>
              </w:rPr>
            </w:pPr>
          </w:p>
        </w:tc>
        <w:tc>
          <w:tcPr>
            <w:tcW w:w="2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and Rights (#)</w:t>
            </w: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Rights ($)</w:t>
            </w:r>
            <w:r>
              <w:rPr>
                <w:rFonts w:ascii="Times New Roman" w:cs="Times New Roman" w:eastAsia="Times New Roman" w:hAnsi="Times New Roman"/>
                <w:sz w:val="10"/>
                <w:szCs w:val="10"/>
                <w:b w:val="1"/>
                <w:bCs w:val="1"/>
                <w:color w:val="auto"/>
              </w:rPr>
              <w:t>(1)</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First Column) (#)</w:t>
            </w:r>
          </w:p>
        </w:tc>
      </w:tr>
      <w:tr>
        <w:trPr>
          <w:trHeight w:val="493"/>
        </w:trPr>
        <w:tc>
          <w:tcPr>
            <w:tcW w:w="460" w:type="dxa"/>
            <w:vAlign w:val="bottom"/>
            <w:tcBorders>
              <w:top w:val="single" w:sz="8" w:color="BAD8EB"/>
            </w:tcBorders>
            <w:shd w:val="clear" w:color="auto" w:fill="BAD8EB"/>
          </w:tcPr>
          <w:p>
            <w:pPr>
              <w:spacing w:after="0"/>
              <w:rPr>
                <w:sz w:val="24"/>
                <w:szCs w:val="24"/>
                <w:color w:val="auto"/>
              </w:rPr>
            </w:pPr>
          </w:p>
        </w:tc>
        <w:tc>
          <w:tcPr>
            <w:tcW w:w="2000" w:type="dxa"/>
            <w:vAlign w:val="bottom"/>
            <w:tcBorders>
              <w:top w:val="single" w:sz="8" w:color="auto"/>
            </w:tcBorders>
            <w:shd w:val="clear" w:color="auto" w:fill="BAD8EB"/>
          </w:tcPr>
          <w:p>
            <w:pPr>
              <w:spacing w:after="0"/>
              <w:rPr>
                <w:sz w:val="24"/>
                <w:szCs w:val="24"/>
                <w:color w:val="auto"/>
              </w:rPr>
            </w:pPr>
          </w:p>
        </w:tc>
        <w:tc>
          <w:tcPr>
            <w:tcW w:w="480" w:type="dxa"/>
            <w:vAlign w:val="bottom"/>
            <w:tcBorders>
              <w:top w:val="single" w:sz="8" w:color="BAD8EB"/>
            </w:tcBorders>
            <w:shd w:val="clear" w:color="auto" w:fill="BAD8EB"/>
          </w:tcPr>
          <w:p>
            <w:pPr>
              <w:spacing w:after="0"/>
              <w:rPr>
                <w:sz w:val="24"/>
                <w:szCs w:val="24"/>
                <w:color w:val="auto"/>
              </w:rPr>
            </w:pPr>
          </w:p>
        </w:tc>
        <w:tc>
          <w:tcPr>
            <w:tcW w:w="1340" w:type="dxa"/>
            <w:vAlign w:val="bottom"/>
            <w:tcBorders>
              <w:top w:val="single" w:sz="8" w:color="auto"/>
            </w:tcBorders>
            <w:shd w:val="clear" w:color="auto" w:fill="BAD8EB"/>
          </w:tcPr>
          <w:p>
            <w:pPr>
              <w:spacing w:after="0"/>
              <w:rPr>
                <w:sz w:val="24"/>
                <w:szCs w:val="24"/>
                <w:color w:val="auto"/>
              </w:rPr>
            </w:pPr>
          </w:p>
        </w:tc>
        <w:tc>
          <w:tcPr>
            <w:tcW w:w="480" w:type="dxa"/>
            <w:vAlign w:val="bottom"/>
            <w:tcBorders>
              <w:top w:val="single" w:sz="8" w:color="BAD8EB"/>
            </w:tcBorders>
            <w:shd w:val="clear" w:color="auto" w:fill="BAD8EB"/>
          </w:tcPr>
          <w:p>
            <w:pPr>
              <w:spacing w:after="0"/>
              <w:rPr>
                <w:sz w:val="24"/>
                <w:szCs w:val="24"/>
                <w:color w:val="auto"/>
              </w:rPr>
            </w:pPr>
          </w:p>
        </w:tc>
        <w:tc>
          <w:tcPr>
            <w:tcW w:w="2440" w:type="dxa"/>
            <w:vAlign w:val="bottom"/>
            <w:tcBorders>
              <w:top w:val="single" w:sz="8" w:color="auto"/>
            </w:tcBorders>
            <w:shd w:val="clear" w:color="auto" w:fill="BAD8EB"/>
          </w:tcPr>
          <w:p>
            <w:pPr>
              <w:spacing w:after="0"/>
              <w:rPr>
                <w:sz w:val="24"/>
                <w:szCs w:val="24"/>
                <w:color w:val="auto"/>
              </w:rPr>
            </w:pPr>
          </w:p>
        </w:tc>
      </w:tr>
    </w:tbl>
    <w:p>
      <w:pPr>
        <w:spacing w:after="0" w:line="10" w:lineRule="exact"/>
        <w:rPr>
          <w:sz w:val="20"/>
          <w:szCs w:val="20"/>
          <w:color w:val="auto"/>
        </w:rPr>
      </w:pPr>
    </w:p>
    <w:p>
      <w:pPr>
        <w:sectPr>
          <w:pgSz w:w="11900" w:h="16838" w:orient="portrait"/>
          <w:cols w:equalWidth="0" w:num="2">
            <w:col w:w="3220" w:space="720"/>
            <w:col w:w="72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88"/>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080" w:type="dxa"/>
            <w:vAlign w:val="bottom"/>
          </w:tcPr>
          <w:p>
            <w:pPr>
              <w:ind w:left="20"/>
              <w:spacing w:after="0" w:line="288" w:lineRule="exact"/>
              <w:rPr>
                <w:sz w:val="20"/>
                <w:szCs w:val="20"/>
                <w:color w:val="auto"/>
              </w:rPr>
            </w:pPr>
            <w:r>
              <w:rPr>
                <w:rFonts w:ascii="Times New Roman" w:cs="Times New Roman" w:eastAsia="Times New Roman" w:hAnsi="Times New Roman"/>
                <w:sz w:val="18"/>
                <w:szCs w:val="18"/>
                <w:color w:val="auto"/>
              </w:rPr>
              <w:t>Equity Incentive Plan</w:t>
            </w:r>
            <w:r>
              <w:rPr>
                <w:rFonts w:ascii="Times New Roman" w:cs="Times New Roman" w:eastAsia="Times New Roman" w:hAnsi="Times New Roman"/>
                <w:sz w:val="26"/>
                <w:szCs w:val="26"/>
                <w:color w:val="auto"/>
                <w:vertAlign w:val="superscript"/>
              </w:rPr>
              <w:t>(2)</w:t>
            </w:r>
          </w:p>
        </w:tc>
        <w:tc>
          <w:tcPr>
            <w:tcW w:w="26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4,282,867</w:t>
            </w:r>
          </w:p>
        </w:tc>
        <w:tc>
          <w:tcPr>
            <w:tcW w:w="20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6.23</w:t>
            </w:r>
          </w:p>
        </w:tc>
        <w:tc>
          <w:tcPr>
            <w:tcW w:w="24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— </w:t>
            </w:r>
          </w:p>
        </w:tc>
      </w:tr>
      <w:tr>
        <w:trPr>
          <w:trHeight w:val="297"/>
        </w:trPr>
        <w:tc>
          <w:tcPr>
            <w:tcW w:w="740" w:type="dxa"/>
            <w:vAlign w:val="bottom"/>
            <w:shd w:val="clear" w:color="auto" w:fill="BAD8EB"/>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080" w:type="dxa"/>
            <w:vAlign w:val="bottom"/>
            <w:shd w:val="clear" w:color="auto" w:fill="BAD8EB"/>
          </w:tcPr>
          <w:p>
            <w:pPr>
              <w:ind w:left="20"/>
              <w:spacing w:after="0" w:line="297" w:lineRule="exact"/>
              <w:rPr>
                <w:sz w:val="20"/>
                <w:szCs w:val="20"/>
                <w:color w:val="auto"/>
              </w:rPr>
            </w:pPr>
            <w:r>
              <w:rPr>
                <w:rFonts w:ascii="Times New Roman" w:cs="Times New Roman" w:eastAsia="Times New Roman" w:hAnsi="Times New Roman"/>
                <w:sz w:val="18"/>
                <w:szCs w:val="18"/>
                <w:color w:val="auto"/>
              </w:rPr>
              <w:t>Equity Incentive Plan</w:t>
            </w:r>
            <w:r>
              <w:rPr>
                <w:rFonts w:ascii="Times New Roman" w:cs="Times New Roman" w:eastAsia="Times New Roman" w:hAnsi="Times New Roman"/>
                <w:sz w:val="26"/>
                <w:szCs w:val="26"/>
                <w:color w:val="auto"/>
                <w:vertAlign w:val="superscript"/>
              </w:rPr>
              <w:t>(3)</w:t>
            </w:r>
          </w:p>
        </w:tc>
        <w:tc>
          <w:tcPr>
            <w:tcW w:w="2660" w:type="dxa"/>
            <w:vAlign w:val="bottom"/>
            <w:shd w:val="clear" w:color="auto" w:fill="BAD8EB"/>
          </w:tcPr>
          <w:p>
            <w:pPr>
              <w:jc w:val="right"/>
              <w:ind w:right="670"/>
              <w:spacing w:after="0"/>
              <w:rPr>
                <w:sz w:val="20"/>
                <w:szCs w:val="20"/>
                <w:color w:val="auto"/>
              </w:rPr>
            </w:pPr>
            <w:r>
              <w:rPr>
                <w:rFonts w:ascii="Times New Roman" w:cs="Times New Roman" w:eastAsia="Times New Roman" w:hAnsi="Times New Roman"/>
                <w:sz w:val="18"/>
                <w:szCs w:val="18"/>
                <w:color w:val="auto"/>
              </w:rPr>
              <w:t>7,197,738</w:t>
            </w:r>
          </w:p>
        </w:tc>
        <w:tc>
          <w:tcPr>
            <w:tcW w:w="2060" w:type="dxa"/>
            <w:vAlign w:val="bottom"/>
            <w:shd w:val="clear" w:color="auto" w:fill="BAD8EB"/>
          </w:tcPr>
          <w:p>
            <w:pPr>
              <w:jc w:val="right"/>
              <w:ind w:right="790"/>
              <w:spacing w:after="0"/>
              <w:rPr>
                <w:sz w:val="20"/>
                <w:szCs w:val="20"/>
                <w:color w:val="auto"/>
              </w:rPr>
            </w:pPr>
            <w:r>
              <w:rPr>
                <w:rFonts w:ascii="Times New Roman" w:cs="Times New Roman" w:eastAsia="Times New Roman" w:hAnsi="Times New Roman"/>
                <w:sz w:val="18"/>
                <w:szCs w:val="18"/>
                <w:color w:val="auto"/>
              </w:rPr>
              <w:t>37.80</w:t>
            </w:r>
          </w:p>
        </w:tc>
        <w:tc>
          <w:tcPr>
            <w:tcW w:w="2480" w:type="dxa"/>
            <w:vAlign w:val="bottom"/>
            <w:shd w:val="clear" w:color="auto" w:fill="BAD8EB"/>
          </w:tcPr>
          <w:p>
            <w:pPr>
              <w:jc w:val="right"/>
              <w:ind w:right="710"/>
              <w:spacing w:after="0"/>
              <w:rPr>
                <w:sz w:val="20"/>
                <w:szCs w:val="20"/>
                <w:color w:val="auto"/>
              </w:rPr>
            </w:pPr>
            <w:r>
              <w:rPr>
                <w:rFonts w:ascii="Times New Roman" w:cs="Times New Roman" w:eastAsia="Times New Roman" w:hAnsi="Times New Roman"/>
                <w:sz w:val="18"/>
                <w:szCs w:val="18"/>
                <w:color w:val="auto"/>
              </w:rPr>
              <w:t>10,922,232</w:t>
            </w:r>
          </w:p>
        </w:tc>
      </w:tr>
      <w:tr>
        <w:trPr>
          <w:trHeight w:val="297"/>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080" w:type="dxa"/>
            <w:vAlign w:val="bottom"/>
          </w:tcPr>
          <w:p>
            <w:pPr>
              <w:ind w:left="20"/>
              <w:spacing w:after="0" w:line="297" w:lineRule="exact"/>
              <w:rPr>
                <w:sz w:val="20"/>
                <w:szCs w:val="20"/>
                <w:color w:val="auto"/>
              </w:rPr>
            </w:pPr>
            <w:r>
              <w:rPr>
                <w:rFonts w:ascii="Times New Roman" w:cs="Times New Roman" w:eastAsia="Times New Roman" w:hAnsi="Times New Roman"/>
                <w:sz w:val="18"/>
                <w:szCs w:val="18"/>
                <w:color w:val="auto"/>
              </w:rPr>
              <w:t>Employee Stock Purchase Plan</w:t>
            </w:r>
            <w:r>
              <w:rPr>
                <w:rFonts w:ascii="Times New Roman" w:cs="Times New Roman" w:eastAsia="Times New Roman" w:hAnsi="Times New Roman"/>
                <w:sz w:val="26"/>
                <w:szCs w:val="26"/>
                <w:color w:val="auto"/>
                <w:vertAlign w:val="superscript"/>
              </w:rPr>
              <w:t>(4)</w:t>
            </w:r>
          </w:p>
        </w:tc>
        <w:tc>
          <w:tcPr>
            <w:tcW w:w="26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4,140,207</w:t>
            </w:r>
          </w:p>
        </w:tc>
      </w:tr>
      <w:tr>
        <w:trPr>
          <w:trHeight w:val="277"/>
        </w:trPr>
        <w:tc>
          <w:tcPr>
            <w:tcW w:w="3820" w:type="dxa"/>
            <w:vAlign w:val="bottom"/>
            <w:tcBorders>
              <w:bottom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Prodigy Software, Inc. 2015 Stock Incentive Plan</w:t>
            </w:r>
          </w:p>
        </w:tc>
        <w:tc>
          <w:tcPr>
            <w:tcW w:w="2660" w:type="dxa"/>
            <w:vAlign w:val="bottom"/>
            <w:tcBorders>
              <w:bottom w:val="single" w:sz="8" w:color="BAD8EB"/>
            </w:tcBorders>
            <w:shd w:val="clear" w:color="auto" w:fill="BAD8EB"/>
          </w:tcPr>
          <w:p>
            <w:pPr>
              <w:jc w:val="right"/>
              <w:ind w:right="670"/>
              <w:spacing w:after="0"/>
              <w:rPr>
                <w:sz w:val="20"/>
                <w:szCs w:val="20"/>
                <w:color w:val="auto"/>
              </w:rPr>
            </w:pPr>
            <w:r>
              <w:rPr>
                <w:rFonts w:ascii="Times New Roman" w:cs="Times New Roman" w:eastAsia="Times New Roman" w:hAnsi="Times New Roman"/>
                <w:sz w:val="18"/>
                <w:szCs w:val="18"/>
                <w:color w:val="auto"/>
              </w:rPr>
              <w:t>534</w:t>
            </w:r>
          </w:p>
        </w:tc>
        <w:tc>
          <w:tcPr>
            <w:tcW w:w="2060" w:type="dxa"/>
            <w:vAlign w:val="bottom"/>
            <w:tcBorders>
              <w:bottom w:val="single" w:sz="8" w:color="BAD8EB"/>
            </w:tcBorders>
            <w:shd w:val="clear" w:color="auto" w:fill="BAD8EB"/>
          </w:tcPr>
          <w:p>
            <w:pPr>
              <w:jc w:val="right"/>
              <w:ind w:right="790"/>
              <w:spacing w:after="0"/>
              <w:rPr>
                <w:sz w:val="20"/>
                <w:szCs w:val="20"/>
                <w:color w:val="auto"/>
              </w:rPr>
            </w:pPr>
            <w:r>
              <w:rPr>
                <w:rFonts w:ascii="Times New Roman" w:cs="Times New Roman" w:eastAsia="Times New Roman" w:hAnsi="Times New Roman"/>
                <w:sz w:val="18"/>
                <w:szCs w:val="18"/>
                <w:color w:val="auto"/>
              </w:rPr>
              <w:t>10.00</w:t>
            </w:r>
          </w:p>
        </w:tc>
        <w:tc>
          <w:tcPr>
            <w:tcW w:w="2480" w:type="dxa"/>
            <w:vAlign w:val="bottom"/>
            <w:tcBorders>
              <w:bottom w:val="single" w:sz="8" w:color="BAD8EB"/>
            </w:tcBorders>
            <w:shd w:val="clear" w:color="auto" w:fill="BAD8EB"/>
          </w:tcPr>
          <w:p>
            <w:pPr>
              <w:jc w:val="right"/>
              <w:ind w:right="750"/>
              <w:spacing w:after="0"/>
              <w:rPr>
                <w:sz w:val="20"/>
                <w:szCs w:val="20"/>
                <w:color w:val="auto"/>
              </w:rPr>
            </w:pPr>
            <w:r>
              <w:rPr>
                <w:rFonts w:ascii="Times New Roman" w:cs="Times New Roman" w:eastAsia="Times New Roman" w:hAnsi="Times New Roman"/>
                <w:sz w:val="18"/>
                <w:szCs w:val="18"/>
                <w:color w:val="auto"/>
              </w:rPr>
              <w:t>— </w:t>
            </w:r>
          </w:p>
        </w:tc>
      </w:tr>
      <w:tr>
        <w:trPr>
          <w:trHeight w:val="252"/>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26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34"/>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6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740" w:type="dxa"/>
            <w:vAlign w:val="bottom"/>
            <w:shd w:val="clear" w:color="auto" w:fill="BAD8EB"/>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shd w:val="clear" w:color="auto" w:fill="BAD8EB"/>
          </w:tcPr>
          <w:p>
            <w:pPr>
              <w:spacing w:after="0"/>
              <w:rPr>
                <w:sz w:val="23"/>
                <w:szCs w:val="23"/>
                <w:color w:val="auto"/>
              </w:rPr>
            </w:pPr>
          </w:p>
        </w:tc>
        <w:tc>
          <w:tcPr>
            <w:tcW w:w="2660" w:type="dxa"/>
            <w:vAlign w:val="bottom"/>
            <w:shd w:val="clear" w:color="auto" w:fill="BAD8EB"/>
          </w:tcPr>
          <w:p>
            <w:pPr>
              <w:jc w:val="right"/>
              <w:ind w:right="670"/>
              <w:spacing w:after="0"/>
              <w:rPr>
                <w:sz w:val="20"/>
                <w:szCs w:val="20"/>
                <w:color w:val="auto"/>
              </w:rPr>
            </w:pPr>
            <w:r>
              <w:rPr>
                <w:rFonts w:ascii="Times New Roman" w:cs="Times New Roman" w:eastAsia="Times New Roman" w:hAnsi="Times New Roman"/>
                <w:sz w:val="18"/>
                <w:szCs w:val="18"/>
                <w:color w:val="auto"/>
              </w:rPr>
              <w:t>11,481,139</w:t>
            </w:r>
          </w:p>
        </w:tc>
        <w:tc>
          <w:tcPr>
            <w:tcW w:w="2060" w:type="dxa"/>
            <w:vAlign w:val="bottom"/>
            <w:shd w:val="clear" w:color="auto" w:fill="BAD8EB"/>
          </w:tcPr>
          <w:p>
            <w:pPr>
              <w:spacing w:after="0"/>
              <w:rPr>
                <w:sz w:val="23"/>
                <w:szCs w:val="23"/>
                <w:color w:val="auto"/>
              </w:rPr>
            </w:pPr>
          </w:p>
        </w:tc>
        <w:tc>
          <w:tcPr>
            <w:tcW w:w="2480" w:type="dxa"/>
            <w:vAlign w:val="bottom"/>
            <w:shd w:val="clear" w:color="auto" w:fill="BAD8EB"/>
          </w:tcPr>
          <w:p>
            <w:pPr>
              <w:jc w:val="right"/>
              <w:ind w:right="710"/>
              <w:spacing w:after="0"/>
              <w:rPr>
                <w:sz w:val="20"/>
                <w:szCs w:val="20"/>
                <w:color w:val="auto"/>
              </w:rPr>
            </w:pPr>
            <w:r>
              <w:rPr>
                <w:rFonts w:ascii="Times New Roman" w:cs="Times New Roman" w:eastAsia="Times New Roman" w:hAnsi="Times New Roman"/>
                <w:sz w:val="18"/>
                <w:szCs w:val="18"/>
                <w:color w:val="auto"/>
              </w:rPr>
              <w:t>15,062,439</w:t>
            </w:r>
          </w:p>
        </w:tc>
      </w:tr>
      <w:tr>
        <w:trPr>
          <w:trHeight w:val="27"/>
        </w:trPr>
        <w:tc>
          <w:tcPr>
            <w:tcW w:w="740" w:type="dxa"/>
            <w:vAlign w:val="bottom"/>
            <w:shd w:val="clear" w:color="auto" w:fill="BAD8EB"/>
          </w:tcPr>
          <w:p>
            <w:pPr>
              <w:spacing w:after="0"/>
              <w:rPr>
                <w:sz w:val="2"/>
                <w:szCs w:val="2"/>
                <w:color w:val="auto"/>
              </w:rPr>
            </w:pPr>
          </w:p>
        </w:tc>
        <w:tc>
          <w:tcPr>
            <w:tcW w:w="3080" w:type="dxa"/>
            <w:vAlign w:val="bottom"/>
            <w:shd w:val="clear" w:color="auto" w:fill="BAD8EB"/>
          </w:tcPr>
          <w:p>
            <w:pPr>
              <w:spacing w:after="0"/>
              <w:rPr>
                <w:sz w:val="2"/>
                <w:szCs w:val="2"/>
                <w:color w:val="auto"/>
              </w:rPr>
            </w:pPr>
          </w:p>
        </w:tc>
        <w:tc>
          <w:tcPr>
            <w:tcW w:w="2660" w:type="dxa"/>
            <w:vAlign w:val="bottom"/>
            <w:shd w:val="clear" w:color="auto" w:fill="BAD8EB"/>
          </w:tcPr>
          <w:p>
            <w:pPr>
              <w:spacing w:after="0"/>
              <w:rPr>
                <w:sz w:val="2"/>
                <w:szCs w:val="2"/>
                <w:color w:val="auto"/>
              </w:rPr>
            </w:pPr>
          </w:p>
        </w:tc>
        <w:tc>
          <w:tcPr>
            <w:tcW w:w="2060" w:type="dxa"/>
            <w:vAlign w:val="bottom"/>
            <w:shd w:val="clear" w:color="auto" w:fill="BAD8EB"/>
          </w:tcPr>
          <w:p>
            <w:pPr>
              <w:spacing w:after="0"/>
              <w:rPr>
                <w:sz w:val="2"/>
                <w:szCs w:val="2"/>
                <w:color w:val="auto"/>
              </w:rPr>
            </w:pPr>
          </w:p>
        </w:tc>
        <w:tc>
          <w:tcPr>
            <w:tcW w:w="2480" w:type="dxa"/>
            <w:vAlign w:val="bottom"/>
            <w:shd w:val="clear" w:color="auto" w:fill="BAD8EB"/>
          </w:tcPr>
          <w:p>
            <w:pPr>
              <w:spacing w:after="0"/>
              <w:rPr>
                <w:sz w:val="2"/>
                <w:szCs w:val="2"/>
                <w:color w:val="auto"/>
              </w:rPr>
            </w:pPr>
          </w:p>
        </w:tc>
      </w:tr>
    </w:tbl>
    <w:p>
      <w:pPr>
        <w:spacing w:after="0" w:line="225"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which do not have an exercise price, are excluded in the calculation of weighted-average exercise price.</w:t>
      </w:r>
    </w:p>
    <w:p>
      <w:pPr>
        <w:spacing w:after="0" w:line="27"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initial public offering and the adoption of the 2020 Equity Incentive Plan (the “2020 Plan”), we no longer grant awards under the 2012 Equity Incentive Plan (the “2012 Plan”); however, all outstanding awards under the 2012 Plan remain subject to the terms of the 2012 Plan. The number of shares underlying stock options granted under the 2012 Plan that expire or terminate or are forfeited or repurchased by us under the 2012 Plan, tendered to or withheld by us for payment of an exercise price or for tax withholding, or repurchased by us due to failure to vest will be automatically added to the shares available for issuance under the 2020 Plan.</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outstanding RSUs and stock options as granted under the 2020 Plan. Our 2020 Plan provides that the number of shares of common stock available for issuance under the 2020 Plan automatically increases on the first day of each fiscal year beginning with the 2021 fiscal year, in an amount equal to the least of (i) 15,000,000 shares, (ii) five percent (5%) of the outstanding shares of our common stock on the last day of the immediately preceding fiscal year or (iii) such other amount as the administrator may determine.</w:t>
      </w:r>
    </w:p>
    <w:p>
      <w:pPr>
        <w:spacing w:after="0" w:line="1" w:lineRule="exact"/>
        <w:rPr>
          <w:rFonts w:ascii="Times New Roman" w:cs="Times New Roman" w:eastAsia="Times New Roman" w:hAnsi="Times New Roman"/>
          <w:sz w:val="18"/>
          <w:szCs w:val="18"/>
          <w:color w:val="auto"/>
        </w:rPr>
      </w:pPr>
    </w:p>
    <w:p>
      <w:pPr>
        <w:ind w:left="540" w:right="140" w:hanging="424"/>
        <w:spacing w:after="0" w:line="253"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2020 Employee Stock Purchase Plan (the “ESPP”) provides that the number of shares of our common stock available for issuance under the ESPP automatically increases on the first day of each fiscal year beginning with the 2021 fiscal year, in an amount equal to the least of (i) 2,000,000 shares, (ii) one percent (1%) of the outstanding shares of our common stock on the last day of the immediately preceding fiscal year or (iii) such other amount as the administrator may determine.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82" w:right="4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March 31, 2026 for:</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percentage of beneficial ownership shown in the table is based on 95,707,260 shares of common stock outstanding as of March 31, 2026.</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Except as indicated by the footnotes below, we believe, based on the information available to us, that the persons and entities named in the table below have sole voting and investment power with respect to all shares of common stock that they beneficially own, subject to applicable community property laws. The information provided in the table is based on our records, information filed with the SEC and information provided to us, except as otherwise noted. The rules of the SEC also take into account shares of common stock pursuant to stock options that are either immediately exercisable or exercisable on or before the 60th day after March 31, 2026 or issuable pursuant to RSUs which are subject to vesting and settlement conditions expected to occur within 60 days of March 31, 2026.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w:t>
      </w:r>
    </w:p>
    <w:p>
      <w:pPr>
        <w:spacing w:after="0" w:line="18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each person or entity listed in the table is c/o Upstart Holdings, Inc., 2950 S. Delaware Street, Suite 410, San Mateo, California 94403.</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20" w:type="dxa"/>
            <w:vAlign w:val="bottom"/>
            <w:gridSpan w:val="3"/>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1000" w:type="dxa"/>
            <w:vAlign w:val="bottom"/>
          </w:tcPr>
          <w:p>
            <w:pPr>
              <w:jc w:val="center"/>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280" w:type="dxa"/>
            <w:vAlign w:val="bottom"/>
            <w:vMerge w:val="restart"/>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gridSpan w:val="3"/>
          </w:tcPr>
          <w:p>
            <w:pPr>
              <w:jc w:val="center"/>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1000" w:type="dxa"/>
            <w:vAlign w:val="bottom"/>
          </w:tcPr>
          <w:p>
            <w:pPr>
              <w:jc w:val="center"/>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44"/>
        </w:trPr>
        <w:tc>
          <w:tcPr>
            <w:tcW w:w="4900" w:type="dxa"/>
            <w:vAlign w:val="bottom"/>
            <w:tcBorders>
              <w:top w:val="single" w:sz="8" w:color="BAD8EB"/>
            </w:tcBorders>
            <w:gridSpan w:val="2"/>
            <w:shd w:val="clear" w:color="auto" w:fill="BAD8EB"/>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500" w:type="dxa"/>
            <w:vAlign w:val="bottom"/>
            <w:tcBorders>
              <w:top w:val="single" w:sz="8" w:color="BAD8EB"/>
            </w:tcBorders>
            <w:shd w:val="clear" w:color="auto" w:fill="BAD8EB"/>
          </w:tcPr>
          <w:p>
            <w:pPr>
              <w:spacing w:after="0"/>
              <w:rPr>
                <w:sz w:val="21"/>
                <w:szCs w:val="21"/>
                <w:color w:val="auto"/>
              </w:rPr>
            </w:pPr>
          </w:p>
        </w:tc>
        <w:tc>
          <w:tcPr>
            <w:tcW w:w="700" w:type="dxa"/>
            <w:vAlign w:val="bottom"/>
            <w:tcBorders>
              <w:top w:val="single" w:sz="8" w:color="BAD8EB"/>
            </w:tcBorders>
            <w:shd w:val="clear" w:color="auto" w:fill="BAD8EB"/>
          </w:tcPr>
          <w:p>
            <w:pPr>
              <w:spacing w:after="0"/>
              <w:rPr>
                <w:sz w:val="21"/>
                <w:szCs w:val="21"/>
                <w:color w:val="auto"/>
              </w:rPr>
            </w:pPr>
          </w:p>
        </w:tc>
        <w:tc>
          <w:tcPr>
            <w:tcW w:w="1200" w:type="dxa"/>
            <w:vAlign w:val="bottom"/>
            <w:tcBorders>
              <w:top w:val="single" w:sz="8" w:color="auto"/>
            </w:tcBorders>
            <w:shd w:val="clear" w:color="auto" w:fill="BAD8EB"/>
          </w:tcPr>
          <w:p>
            <w:pPr>
              <w:spacing w:after="0"/>
              <w:rPr>
                <w:sz w:val="21"/>
                <w:szCs w:val="21"/>
                <w:color w:val="auto"/>
              </w:rPr>
            </w:pPr>
          </w:p>
        </w:tc>
        <w:tc>
          <w:tcPr>
            <w:tcW w:w="620" w:type="dxa"/>
            <w:vAlign w:val="bottom"/>
            <w:tcBorders>
              <w:top w:val="single" w:sz="8" w:color="BAD8EB"/>
            </w:tcBorders>
            <w:shd w:val="clear" w:color="auto" w:fill="BAD8EB"/>
          </w:tcPr>
          <w:p>
            <w:pPr>
              <w:spacing w:after="0"/>
              <w:rPr>
                <w:sz w:val="21"/>
                <w:szCs w:val="21"/>
                <w:color w:val="auto"/>
              </w:rPr>
            </w:pPr>
          </w:p>
        </w:tc>
        <w:tc>
          <w:tcPr>
            <w:tcW w:w="200" w:type="dxa"/>
            <w:vAlign w:val="bottom"/>
            <w:tcBorders>
              <w:top w:val="single" w:sz="8" w:color="auto"/>
            </w:tcBorders>
            <w:shd w:val="clear" w:color="auto" w:fill="BAD8EB"/>
          </w:tcPr>
          <w:p>
            <w:pPr>
              <w:spacing w:after="0"/>
              <w:rPr>
                <w:sz w:val="21"/>
                <w:szCs w:val="21"/>
                <w:color w:val="auto"/>
              </w:rPr>
            </w:pPr>
          </w:p>
        </w:tc>
        <w:tc>
          <w:tcPr>
            <w:tcW w:w="1000" w:type="dxa"/>
            <w:vAlign w:val="bottom"/>
            <w:tcBorders>
              <w:top w:val="single" w:sz="8" w:color="auto"/>
            </w:tcBorders>
            <w:shd w:val="clear" w:color="auto" w:fill="BAD8EB"/>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Girouard</w:t>
            </w:r>
          </w:p>
        </w:tc>
        <w:tc>
          <w:tcPr>
            <w:tcW w:w="3400" w:type="dxa"/>
            <w:vAlign w:val="bottom"/>
            <w:gridSpan w:val="3"/>
          </w:tcPr>
          <w:p>
            <w:pPr>
              <w:jc w:val="right"/>
              <w:ind w:right="49"/>
              <w:spacing w:after="0" w:line="297" w:lineRule="exact"/>
              <w:rPr>
                <w:sz w:val="20"/>
                <w:szCs w:val="20"/>
                <w:color w:val="auto"/>
              </w:rPr>
            </w:pPr>
            <w:r>
              <w:rPr>
                <w:rFonts w:ascii="Times New Roman" w:cs="Times New Roman" w:eastAsia="Times New Roman" w:hAnsi="Times New Roman"/>
                <w:sz w:val="18"/>
                <w:szCs w:val="18"/>
                <w:color w:val="auto"/>
              </w:rPr>
              <w:t>13,271,453</w:t>
            </w:r>
            <w:r>
              <w:rPr>
                <w:rFonts w:ascii="Times New Roman" w:cs="Times New Roman" w:eastAsia="Times New Roman" w:hAnsi="Times New Roman"/>
                <w:sz w:val="26"/>
                <w:szCs w:val="26"/>
                <w:color w:val="auto"/>
                <w:vertAlign w:val="superscript"/>
              </w:rPr>
              <w:t>(2)</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97"/>
        </w:trPr>
        <w:tc>
          <w:tcPr>
            <w:tcW w:w="490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Andrea Blankmeyer</w:t>
            </w:r>
          </w:p>
        </w:tc>
        <w:tc>
          <w:tcPr>
            <w:tcW w:w="1500" w:type="dxa"/>
            <w:vAlign w:val="bottom"/>
            <w:shd w:val="clear" w:color="auto" w:fill="BAD8EB"/>
          </w:tcPr>
          <w:p>
            <w:pPr>
              <w:spacing w:after="0"/>
              <w:rPr>
                <w:sz w:val="24"/>
                <w:szCs w:val="24"/>
                <w:color w:val="auto"/>
              </w:rPr>
            </w:pPr>
          </w:p>
        </w:tc>
        <w:tc>
          <w:tcPr>
            <w:tcW w:w="1900" w:type="dxa"/>
            <w:vAlign w:val="bottom"/>
            <w:gridSpan w:val="2"/>
            <w:shd w:val="clear" w:color="auto" w:fill="BAD8EB"/>
          </w:tcPr>
          <w:p>
            <w:pPr>
              <w:jc w:val="right"/>
              <w:ind w:right="49"/>
              <w:spacing w:after="0" w:line="297" w:lineRule="exact"/>
              <w:rPr>
                <w:sz w:val="20"/>
                <w:szCs w:val="20"/>
                <w:color w:val="auto"/>
              </w:rPr>
            </w:pPr>
            <w:r>
              <w:rPr>
                <w:rFonts w:ascii="Times New Roman" w:cs="Times New Roman" w:eastAsia="Times New Roman" w:hAnsi="Times New Roman"/>
                <w:sz w:val="18"/>
                <w:szCs w:val="18"/>
                <w:color w:val="auto"/>
              </w:rPr>
              <w:t>16,942</w:t>
            </w:r>
            <w:r>
              <w:rPr>
                <w:rFonts w:ascii="Times New Roman" w:cs="Times New Roman" w:eastAsia="Times New Roman" w:hAnsi="Times New Roman"/>
                <w:sz w:val="26"/>
                <w:szCs w:val="26"/>
                <w:color w:val="auto"/>
                <w:vertAlign w:val="superscript"/>
              </w:rPr>
              <w:t>(3)</w:t>
            </w:r>
          </w:p>
        </w:tc>
        <w:tc>
          <w:tcPr>
            <w:tcW w:w="620" w:type="dxa"/>
            <w:vAlign w:val="bottom"/>
            <w:shd w:val="clear" w:color="auto" w:fill="BAD8EB"/>
          </w:tcPr>
          <w:p>
            <w:pPr>
              <w:spacing w:after="0"/>
              <w:rPr>
                <w:sz w:val="24"/>
                <w:szCs w:val="24"/>
                <w:color w:val="auto"/>
              </w:rPr>
            </w:pPr>
          </w:p>
        </w:tc>
        <w:tc>
          <w:tcPr>
            <w:tcW w:w="200" w:type="dxa"/>
            <w:vAlign w:val="bottom"/>
            <w:shd w:val="clear" w:color="auto" w:fill="BAD8EB"/>
          </w:tcPr>
          <w:p>
            <w:pPr>
              <w:spacing w:after="0"/>
              <w:rPr>
                <w:sz w:val="24"/>
                <w:szCs w:val="24"/>
                <w:color w:val="auto"/>
              </w:rPr>
            </w:pPr>
          </w:p>
        </w:tc>
        <w:tc>
          <w:tcPr>
            <w:tcW w:w="1000" w:type="dxa"/>
            <w:vAlign w:val="bottom"/>
            <w:shd w:val="clear" w:color="auto" w:fill="BAD8EB"/>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Datta</w:t>
            </w:r>
          </w:p>
        </w:tc>
        <w:tc>
          <w:tcPr>
            <w:tcW w:w="3400" w:type="dxa"/>
            <w:vAlign w:val="bottom"/>
            <w:gridSpan w:val="3"/>
          </w:tcPr>
          <w:p>
            <w:pPr>
              <w:jc w:val="right"/>
              <w:ind w:right="49"/>
              <w:spacing w:after="0" w:line="297" w:lineRule="exact"/>
              <w:rPr>
                <w:sz w:val="20"/>
                <w:szCs w:val="20"/>
                <w:color w:val="auto"/>
              </w:rPr>
            </w:pPr>
            <w:r>
              <w:rPr>
                <w:rFonts w:ascii="Times New Roman" w:cs="Times New Roman" w:eastAsia="Times New Roman" w:hAnsi="Times New Roman"/>
                <w:sz w:val="18"/>
                <w:szCs w:val="18"/>
                <w:color w:val="auto"/>
              </w:rPr>
              <w:t>1,722,923</w:t>
            </w:r>
            <w:r>
              <w:rPr>
                <w:rFonts w:ascii="Times New Roman" w:cs="Times New Roman" w:eastAsia="Times New Roman" w:hAnsi="Times New Roman"/>
                <w:sz w:val="26"/>
                <w:szCs w:val="26"/>
                <w:color w:val="auto"/>
                <w:vertAlign w:val="superscript"/>
              </w:rPr>
              <w:t>(4)</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97"/>
        </w:trPr>
        <w:tc>
          <w:tcPr>
            <w:tcW w:w="490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Paul Gu</w:t>
            </w:r>
          </w:p>
        </w:tc>
        <w:tc>
          <w:tcPr>
            <w:tcW w:w="1500" w:type="dxa"/>
            <w:vAlign w:val="bottom"/>
            <w:shd w:val="clear" w:color="auto" w:fill="BAD8EB"/>
          </w:tcPr>
          <w:p>
            <w:pPr>
              <w:spacing w:after="0"/>
              <w:rPr>
                <w:sz w:val="24"/>
                <w:szCs w:val="24"/>
                <w:color w:val="auto"/>
              </w:rPr>
            </w:pPr>
          </w:p>
        </w:tc>
        <w:tc>
          <w:tcPr>
            <w:tcW w:w="1900" w:type="dxa"/>
            <w:vAlign w:val="bottom"/>
            <w:gridSpan w:val="2"/>
            <w:shd w:val="clear" w:color="auto" w:fill="BAD8EB"/>
          </w:tcPr>
          <w:p>
            <w:pPr>
              <w:jc w:val="right"/>
              <w:ind w:right="49"/>
              <w:spacing w:after="0" w:line="297" w:lineRule="exact"/>
              <w:rPr>
                <w:sz w:val="20"/>
                <w:szCs w:val="20"/>
                <w:color w:val="auto"/>
              </w:rPr>
            </w:pPr>
            <w:r>
              <w:rPr>
                <w:rFonts w:ascii="Times New Roman" w:cs="Times New Roman" w:eastAsia="Times New Roman" w:hAnsi="Times New Roman"/>
                <w:sz w:val="18"/>
                <w:szCs w:val="18"/>
                <w:color w:val="auto"/>
              </w:rPr>
              <w:t>1,742,598</w:t>
            </w:r>
            <w:r>
              <w:rPr>
                <w:rFonts w:ascii="Times New Roman" w:cs="Times New Roman" w:eastAsia="Times New Roman" w:hAnsi="Times New Roman"/>
                <w:sz w:val="26"/>
                <w:szCs w:val="26"/>
                <w:color w:val="auto"/>
                <w:vertAlign w:val="superscript"/>
              </w:rPr>
              <w:t>(5)</w:t>
            </w:r>
          </w:p>
        </w:tc>
        <w:tc>
          <w:tcPr>
            <w:tcW w:w="620" w:type="dxa"/>
            <w:vAlign w:val="bottom"/>
            <w:shd w:val="clear" w:color="auto" w:fill="BAD8EB"/>
          </w:tcPr>
          <w:p>
            <w:pPr>
              <w:spacing w:after="0"/>
              <w:rPr>
                <w:sz w:val="24"/>
                <w:szCs w:val="24"/>
                <w:color w:val="auto"/>
              </w:rPr>
            </w:pPr>
          </w:p>
        </w:tc>
        <w:tc>
          <w:tcPr>
            <w:tcW w:w="200" w:type="dxa"/>
            <w:vAlign w:val="bottom"/>
            <w:shd w:val="clear" w:color="auto" w:fill="BAD8EB"/>
          </w:tcPr>
          <w:p>
            <w:pPr>
              <w:spacing w:after="0"/>
              <w:rPr>
                <w:sz w:val="24"/>
                <w:szCs w:val="24"/>
                <w:color w:val="auto"/>
              </w:rPr>
            </w:pPr>
          </w:p>
        </w:tc>
        <w:tc>
          <w:tcPr>
            <w:tcW w:w="1000" w:type="dxa"/>
            <w:vAlign w:val="bottom"/>
            <w:shd w:val="clear" w:color="auto" w:fill="BAD8EB"/>
          </w:tcPr>
          <w:p>
            <w:pPr>
              <w:jc w:val="right"/>
              <w:ind w:right="135"/>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Darling</w:t>
            </w:r>
          </w:p>
        </w:tc>
        <w:tc>
          <w:tcPr>
            <w:tcW w:w="3400" w:type="dxa"/>
            <w:vAlign w:val="bottom"/>
            <w:gridSpan w:val="3"/>
          </w:tcPr>
          <w:p>
            <w:pPr>
              <w:jc w:val="right"/>
              <w:ind w:right="49"/>
              <w:spacing w:after="0" w:line="297" w:lineRule="exact"/>
              <w:rPr>
                <w:sz w:val="20"/>
                <w:szCs w:val="20"/>
                <w:color w:val="auto"/>
              </w:rPr>
            </w:pPr>
            <w:r>
              <w:rPr>
                <w:rFonts w:ascii="Times New Roman" w:cs="Times New Roman" w:eastAsia="Times New Roman" w:hAnsi="Times New Roman"/>
                <w:sz w:val="18"/>
                <w:szCs w:val="18"/>
                <w:color w:val="auto"/>
              </w:rPr>
              <w:t>178,878</w:t>
            </w:r>
            <w:r>
              <w:rPr>
                <w:rFonts w:ascii="Times New Roman" w:cs="Times New Roman" w:eastAsia="Times New Roman" w:hAnsi="Times New Roman"/>
                <w:sz w:val="26"/>
                <w:szCs w:val="26"/>
                <w:color w:val="auto"/>
                <w:vertAlign w:val="superscript"/>
              </w:rPr>
              <w:t>(6)</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90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Peter Bernard</w:t>
            </w:r>
          </w:p>
        </w:tc>
        <w:tc>
          <w:tcPr>
            <w:tcW w:w="1500" w:type="dxa"/>
            <w:vAlign w:val="bottom"/>
            <w:shd w:val="clear" w:color="auto" w:fill="BAD8EB"/>
          </w:tcPr>
          <w:p>
            <w:pPr>
              <w:spacing w:after="0"/>
              <w:rPr>
                <w:sz w:val="24"/>
                <w:szCs w:val="24"/>
                <w:color w:val="auto"/>
              </w:rPr>
            </w:pPr>
          </w:p>
        </w:tc>
        <w:tc>
          <w:tcPr>
            <w:tcW w:w="1900" w:type="dxa"/>
            <w:vAlign w:val="bottom"/>
            <w:gridSpan w:val="2"/>
            <w:shd w:val="clear" w:color="auto" w:fill="BAD8EB"/>
          </w:tcPr>
          <w:p>
            <w:pPr>
              <w:jc w:val="right"/>
              <w:ind w:right="49"/>
              <w:spacing w:after="0" w:line="297" w:lineRule="exact"/>
              <w:rPr>
                <w:sz w:val="20"/>
                <w:szCs w:val="20"/>
                <w:color w:val="auto"/>
              </w:rPr>
            </w:pPr>
            <w:r>
              <w:rPr>
                <w:rFonts w:ascii="Times New Roman" w:cs="Times New Roman" w:eastAsia="Times New Roman" w:hAnsi="Times New Roman"/>
                <w:sz w:val="18"/>
                <w:szCs w:val="18"/>
                <w:color w:val="auto"/>
              </w:rPr>
              <w:t>4,916</w:t>
            </w:r>
            <w:r>
              <w:rPr>
                <w:rFonts w:ascii="Times New Roman" w:cs="Times New Roman" w:eastAsia="Times New Roman" w:hAnsi="Times New Roman"/>
                <w:sz w:val="26"/>
                <w:szCs w:val="26"/>
                <w:color w:val="auto"/>
                <w:vertAlign w:val="superscript"/>
              </w:rPr>
              <w:t>(7)</w:t>
            </w:r>
          </w:p>
        </w:tc>
        <w:tc>
          <w:tcPr>
            <w:tcW w:w="620" w:type="dxa"/>
            <w:vAlign w:val="bottom"/>
            <w:shd w:val="clear" w:color="auto" w:fill="BAD8EB"/>
          </w:tcPr>
          <w:p>
            <w:pPr>
              <w:spacing w:after="0"/>
              <w:rPr>
                <w:sz w:val="24"/>
                <w:szCs w:val="24"/>
                <w:color w:val="auto"/>
              </w:rPr>
            </w:pPr>
          </w:p>
        </w:tc>
        <w:tc>
          <w:tcPr>
            <w:tcW w:w="200" w:type="dxa"/>
            <w:vAlign w:val="bottom"/>
            <w:shd w:val="clear" w:color="auto" w:fill="BAD8EB"/>
          </w:tcPr>
          <w:p>
            <w:pPr>
              <w:spacing w:after="0"/>
              <w:rPr>
                <w:sz w:val="24"/>
                <w:szCs w:val="24"/>
                <w:color w:val="auto"/>
              </w:rPr>
            </w:pPr>
          </w:p>
        </w:tc>
        <w:tc>
          <w:tcPr>
            <w:tcW w:w="1000" w:type="dxa"/>
            <w:vAlign w:val="bottom"/>
            <w:shd w:val="clear" w:color="auto" w:fill="BAD8EB"/>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Kerry Cooper</w:t>
            </w:r>
          </w:p>
        </w:tc>
        <w:tc>
          <w:tcPr>
            <w:tcW w:w="3400" w:type="dxa"/>
            <w:vAlign w:val="bottom"/>
            <w:gridSpan w:val="3"/>
          </w:tcPr>
          <w:p>
            <w:pPr>
              <w:jc w:val="right"/>
              <w:ind w:right="49"/>
              <w:spacing w:after="0" w:line="297" w:lineRule="exact"/>
              <w:rPr>
                <w:sz w:val="20"/>
                <w:szCs w:val="20"/>
                <w:color w:val="auto"/>
              </w:rPr>
            </w:pPr>
            <w:r>
              <w:rPr>
                <w:rFonts w:ascii="Times New Roman" w:cs="Times New Roman" w:eastAsia="Times New Roman" w:hAnsi="Times New Roman"/>
                <w:sz w:val="18"/>
                <w:szCs w:val="18"/>
                <w:color w:val="auto"/>
              </w:rPr>
              <w:t>29,707</w:t>
            </w:r>
            <w:r>
              <w:rPr>
                <w:rFonts w:ascii="Times New Roman" w:cs="Times New Roman" w:eastAsia="Times New Roman" w:hAnsi="Times New Roman"/>
                <w:sz w:val="26"/>
                <w:szCs w:val="26"/>
                <w:color w:val="auto"/>
                <w:vertAlign w:val="superscript"/>
              </w:rPr>
              <w:t>(8)</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90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Mary Hentges</w:t>
            </w:r>
          </w:p>
        </w:tc>
        <w:tc>
          <w:tcPr>
            <w:tcW w:w="1500" w:type="dxa"/>
            <w:vAlign w:val="bottom"/>
            <w:shd w:val="clear" w:color="auto" w:fill="BAD8EB"/>
          </w:tcPr>
          <w:p>
            <w:pPr>
              <w:spacing w:after="0"/>
              <w:rPr>
                <w:sz w:val="24"/>
                <w:szCs w:val="24"/>
                <w:color w:val="auto"/>
              </w:rPr>
            </w:pPr>
          </w:p>
        </w:tc>
        <w:tc>
          <w:tcPr>
            <w:tcW w:w="1900" w:type="dxa"/>
            <w:vAlign w:val="bottom"/>
            <w:gridSpan w:val="2"/>
            <w:shd w:val="clear" w:color="auto" w:fill="BAD8EB"/>
          </w:tcPr>
          <w:p>
            <w:pPr>
              <w:jc w:val="right"/>
              <w:ind w:right="49"/>
              <w:spacing w:after="0" w:line="297" w:lineRule="exact"/>
              <w:rPr>
                <w:sz w:val="20"/>
                <w:szCs w:val="20"/>
                <w:color w:val="auto"/>
              </w:rPr>
            </w:pPr>
            <w:r>
              <w:rPr>
                <w:rFonts w:ascii="Times New Roman" w:cs="Times New Roman" w:eastAsia="Times New Roman" w:hAnsi="Times New Roman"/>
                <w:sz w:val="18"/>
                <w:szCs w:val="18"/>
                <w:color w:val="auto"/>
              </w:rPr>
              <w:t>128,968</w:t>
            </w:r>
            <w:r>
              <w:rPr>
                <w:rFonts w:ascii="Times New Roman" w:cs="Times New Roman" w:eastAsia="Times New Roman" w:hAnsi="Times New Roman"/>
                <w:sz w:val="26"/>
                <w:szCs w:val="26"/>
                <w:color w:val="auto"/>
                <w:vertAlign w:val="superscript"/>
              </w:rPr>
              <w:t>(9)</w:t>
            </w:r>
          </w:p>
        </w:tc>
        <w:tc>
          <w:tcPr>
            <w:tcW w:w="620" w:type="dxa"/>
            <w:vAlign w:val="bottom"/>
            <w:shd w:val="clear" w:color="auto" w:fill="BAD8EB"/>
          </w:tcPr>
          <w:p>
            <w:pPr>
              <w:spacing w:after="0"/>
              <w:rPr>
                <w:sz w:val="24"/>
                <w:szCs w:val="24"/>
                <w:color w:val="auto"/>
              </w:rPr>
            </w:pPr>
          </w:p>
        </w:tc>
        <w:tc>
          <w:tcPr>
            <w:tcW w:w="200" w:type="dxa"/>
            <w:vAlign w:val="bottom"/>
            <w:shd w:val="clear" w:color="auto" w:fill="BAD8EB"/>
          </w:tcPr>
          <w:p>
            <w:pPr>
              <w:spacing w:after="0"/>
              <w:rPr>
                <w:sz w:val="24"/>
                <w:szCs w:val="24"/>
                <w:color w:val="auto"/>
              </w:rPr>
            </w:pPr>
          </w:p>
        </w:tc>
        <w:tc>
          <w:tcPr>
            <w:tcW w:w="1000" w:type="dxa"/>
            <w:vAlign w:val="bottom"/>
            <w:shd w:val="clear" w:color="auto" w:fill="BAD8EB"/>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Huber</w:t>
            </w:r>
          </w:p>
        </w:tc>
        <w:tc>
          <w:tcPr>
            <w:tcW w:w="3400" w:type="dxa"/>
            <w:vAlign w:val="bottom"/>
            <w:gridSpan w:val="3"/>
          </w:tcPr>
          <w:p>
            <w:pPr>
              <w:jc w:val="right"/>
              <w:spacing w:after="0" w:line="297" w:lineRule="exact"/>
              <w:rPr>
                <w:sz w:val="20"/>
                <w:szCs w:val="20"/>
                <w:color w:val="auto"/>
              </w:rPr>
            </w:pPr>
            <w:r>
              <w:rPr>
                <w:rFonts w:ascii="Times New Roman" w:cs="Times New Roman" w:eastAsia="Times New Roman" w:hAnsi="Times New Roman"/>
                <w:sz w:val="18"/>
                <w:szCs w:val="18"/>
                <w:color w:val="auto"/>
              </w:rPr>
              <w:t>29,671</w:t>
            </w:r>
            <w:r>
              <w:rPr>
                <w:rFonts w:ascii="Times New Roman" w:cs="Times New Roman" w:eastAsia="Times New Roman" w:hAnsi="Times New Roman"/>
                <w:sz w:val="26"/>
                <w:szCs w:val="26"/>
                <w:color w:val="auto"/>
                <w:vertAlign w:val="superscript"/>
              </w:rPr>
              <w:t>(10)</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90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Ciaran O’Kelly</w:t>
            </w:r>
          </w:p>
        </w:tc>
        <w:tc>
          <w:tcPr>
            <w:tcW w:w="1500" w:type="dxa"/>
            <w:vAlign w:val="bottom"/>
            <w:shd w:val="clear" w:color="auto" w:fill="BAD8EB"/>
          </w:tcPr>
          <w:p>
            <w:pPr>
              <w:spacing w:after="0"/>
              <w:rPr>
                <w:sz w:val="24"/>
                <w:szCs w:val="24"/>
                <w:color w:val="auto"/>
              </w:rPr>
            </w:pPr>
          </w:p>
        </w:tc>
        <w:tc>
          <w:tcPr>
            <w:tcW w:w="1900" w:type="dxa"/>
            <w:vAlign w:val="bottom"/>
            <w:gridSpan w:val="2"/>
            <w:shd w:val="clear" w:color="auto" w:fill="BAD8EB"/>
          </w:tcPr>
          <w:p>
            <w:pPr>
              <w:jc w:val="right"/>
              <w:spacing w:after="0" w:line="297" w:lineRule="exact"/>
              <w:rPr>
                <w:sz w:val="20"/>
                <w:szCs w:val="20"/>
                <w:color w:val="auto"/>
              </w:rPr>
            </w:pPr>
            <w:r>
              <w:rPr>
                <w:rFonts w:ascii="Times New Roman" w:cs="Times New Roman" w:eastAsia="Times New Roman" w:hAnsi="Times New Roman"/>
                <w:sz w:val="18"/>
                <w:szCs w:val="18"/>
                <w:color w:val="auto"/>
              </w:rPr>
              <w:t>225,451</w:t>
            </w:r>
            <w:r>
              <w:rPr>
                <w:rFonts w:ascii="Times New Roman" w:cs="Times New Roman" w:eastAsia="Times New Roman" w:hAnsi="Times New Roman"/>
                <w:sz w:val="26"/>
                <w:szCs w:val="26"/>
                <w:color w:val="auto"/>
                <w:vertAlign w:val="superscript"/>
              </w:rPr>
              <w:t>(11)</w:t>
            </w:r>
          </w:p>
        </w:tc>
        <w:tc>
          <w:tcPr>
            <w:tcW w:w="620" w:type="dxa"/>
            <w:vAlign w:val="bottom"/>
            <w:shd w:val="clear" w:color="auto" w:fill="BAD8EB"/>
          </w:tcPr>
          <w:p>
            <w:pPr>
              <w:spacing w:after="0"/>
              <w:rPr>
                <w:sz w:val="24"/>
                <w:szCs w:val="24"/>
                <w:color w:val="auto"/>
              </w:rPr>
            </w:pPr>
          </w:p>
        </w:tc>
        <w:tc>
          <w:tcPr>
            <w:tcW w:w="200" w:type="dxa"/>
            <w:vAlign w:val="bottom"/>
            <w:shd w:val="clear" w:color="auto" w:fill="BAD8EB"/>
          </w:tcPr>
          <w:p>
            <w:pPr>
              <w:spacing w:after="0"/>
              <w:rPr>
                <w:sz w:val="24"/>
                <w:szCs w:val="24"/>
                <w:color w:val="auto"/>
              </w:rPr>
            </w:pPr>
          </w:p>
        </w:tc>
        <w:tc>
          <w:tcPr>
            <w:tcW w:w="1000" w:type="dxa"/>
            <w:vAlign w:val="bottom"/>
            <w:shd w:val="clear" w:color="auto" w:fill="BAD8EB"/>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Hilliard Terry, III</w:t>
            </w:r>
          </w:p>
        </w:tc>
        <w:tc>
          <w:tcPr>
            <w:tcW w:w="3400" w:type="dxa"/>
            <w:vAlign w:val="bottom"/>
            <w:gridSpan w:val="3"/>
          </w:tcPr>
          <w:p>
            <w:pPr>
              <w:jc w:val="right"/>
              <w:spacing w:after="0" w:line="297" w:lineRule="exact"/>
              <w:rPr>
                <w:sz w:val="20"/>
                <w:szCs w:val="20"/>
                <w:color w:val="auto"/>
              </w:rPr>
            </w:pPr>
            <w:r>
              <w:rPr>
                <w:rFonts w:ascii="Times New Roman" w:cs="Times New Roman" w:eastAsia="Times New Roman" w:hAnsi="Times New Roman"/>
                <w:sz w:val="18"/>
                <w:szCs w:val="18"/>
                <w:color w:val="auto"/>
              </w:rPr>
              <w:t>99,251</w:t>
            </w:r>
            <w:r>
              <w:rPr>
                <w:rFonts w:ascii="Times New Roman" w:cs="Times New Roman" w:eastAsia="Times New Roman" w:hAnsi="Times New Roman"/>
                <w:sz w:val="26"/>
                <w:szCs w:val="26"/>
                <w:color w:val="auto"/>
                <w:vertAlign w:val="superscript"/>
              </w:rPr>
              <w:t>(12)</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900" w:type="dxa"/>
            <w:vAlign w:val="bottom"/>
            <w:gridSpan w:val="2"/>
            <w:shd w:val="clear" w:color="auto" w:fill="BAD8EB"/>
          </w:tcPr>
          <w:p>
            <w:pPr>
              <w:spacing w:after="0"/>
              <w:rPr>
                <w:sz w:val="20"/>
                <w:szCs w:val="20"/>
                <w:color w:val="auto"/>
              </w:rPr>
            </w:pPr>
            <w:r>
              <w:rPr>
                <w:rFonts w:ascii="Times New Roman" w:cs="Times New Roman" w:eastAsia="Times New Roman" w:hAnsi="Times New Roman"/>
                <w:sz w:val="18"/>
                <w:szCs w:val="18"/>
                <w:color w:val="auto"/>
              </w:rPr>
              <w:t>All directors and current executive officers as a group (11 persons)</w:t>
            </w:r>
          </w:p>
        </w:tc>
        <w:tc>
          <w:tcPr>
            <w:tcW w:w="1500" w:type="dxa"/>
            <w:vAlign w:val="bottom"/>
            <w:shd w:val="clear" w:color="auto" w:fill="BAD8EB"/>
          </w:tcPr>
          <w:p>
            <w:pPr>
              <w:spacing w:after="0"/>
              <w:rPr>
                <w:sz w:val="24"/>
                <w:szCs w:val="24"/>
                <w:color w:val="auto"/>
              </w:rPr>
            </w:pPr>
          </w:p>
        </w:tc>
        <w:tc>
          <w:tcPr>
            <w:tcW w:w="1900" w:type="dxa"/>
            <w:vAlign w:val="bottom"/>
            <w:gridSpan w:val="2"/>
            <w:shd w:val="clear" w:color="auto" w:fill="BAD8EB"/>
          </w:tcPr>
          <w:p>
            <w:pPr>
              <w:jc w:val="right"/>
              <w:spacing w:after="0" w:line="297" w:lineRule="exact"/>
              <w:rPr>
                <w:sz w:val="20"/>
                <w:szCs w:val="20"/>
                <w:color w:val="auto"/>
              </w:rPr>
            </w:pPr>
            <w:r>
              <w:rPr>
                <w:rFonts w:ascii="Times New Roman" w:cs="Times New Roman" w:eastAsia="Times New Roman" w:hAnsi="Times New Roman"/>
                <w:sz w:val="18"/>
                <w:szCs w:val="18"/>
                <w:color w:val="auto"/>
              </w:rPr>
              <w:t>17,450,758</w:t>
            </w:r>
            <w:r>
              <w:rPr>
                <w:rFonts w:ascii="Times New Roman" w:cs="Times New Roman" w:eastAsia="Times New Roman" w:hAnsi="Times New Roman"/>
                <w:sz w:val="26"/>
                <w:szCs w:val="26"/>
                <w:color w:val="auto"/>
                <w:vertAlign w:val="superscript"/>
              </w:rPr>
              <w:t>(13)</w:t>
            </w:r>
          </w:p>
        </w:tc>
        <w:tc>
          <w:tcPr>
            <w:tcW w:w="620" w:type="dxa"/>
            <w:vAlign w:val="bottom"/>
            <w:shd w:val="clear" w:color="auto" w:fill="BAD8EB"/>
          </w:tcPr>
          <w:p>
            <w:pPr>
              <w:spacing w:after="0"/>
              <w:rPr>
                <w:sz w:val="24"/>
                <w:szCs w:val="24"/>
                <w:color w:val="auto"/>
              </w:rPr>
            </w:pPr>
          </w:p>
        </w:tc>
        <w:tc>
          <w:tcPr>
            <w:tcW w:w="200" w:type="dxa"/>
            <w:vAlign w:val="bottom"/>
            <w:shd w:val="clear" w:color="auto" w:fill="BAD8EB"/>
          </w:tcPr>
          <w:p>
            <w:pPr>
              <w:spacing w:after="0"/>
              <w:rPr>
                <w:sz w:val="24"/>
                <w:szCs w:val="24"/>
                <w:color w:val="auto"/>
              </w:rPr>
            </w:pPr>
          </w:p>
        </w:tc>
        <w:tc>
          <w:tcPr>
            <w:tcW w:w="1000" w:type="dxa"/>
            <w:vAlign w:val="bottom"/>
            <w:shd w:val="clear" w:color="auto" w:fill="BAD8EB"/>
          </w:tcPr>
          <w:p>
            <w:pPr>
              <w:jc w:val="right"/>
              <w:ind w:right="135"/>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50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62</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u w:val="single" w:color="auto"/>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16510</wp:posOffset>
            </wp:positionV>
            <wp:extent cx="405447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54475" cy="171450"/>
                    </a:xfrm>
                    <a:prstGeom prst="rect">
                      <a:avLst/>
                    </a:prstGeom>
                    <a:noFill/>
                  </pic:spPr>
                </pic:pic>
              </a:graphicData>
            </a:graphic>
          </wp:anchor>
        </w:drawing>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Entities affiliated with The Vanguard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41910</wp:posOffset>
            </wp:positionV>
            <wp:extent cx="405447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54475" cy="188595"/>
                    </a:xfrm>
                    <a:prstGeom prst="rect">
                      <a:avLst/>
                    </a:prstGeom>
                    <a:noFill/>
                  </pic:spPr>
                </pic:pic>
              </a:graphicData>
            </a:graphic>
          </wp:anchor>
        </w:drawing>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Entities affiliated with BlackRock, Inc.</w:t>
      </w:r>
    </w:p>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Jericho Capital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7715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80" w:type="dxa"/>
            <w:vAlign w:val="bottom"/>
          </w:tcPr>
          <w:p>
            <w:pPr>
              <w:spacing w:after="0"/>
              <w:rPr>
                <w:sz w:val="10"/>
                <w:szCs w:val="10"/>
                <w:color w:val="auto"/>
              </w:rPr>
            </w:pPr>
          </w:p>
        </w:tc>
        <w:tc>
          <w:tcPr>
            <w:tcW w:w="1840" w:type="dxa"/>
            <w:vAlign w:val="bottom"/>
            <w:tcBorders>
              <w:top w:val="single" w:sz="8" w:color="auto"/>
            </w:tcBorders>
            <w:gridSpan w:val="2"/>
          </w:tcPr>
          <w:p>
            <w:pPr>
              <w:jc w:val="center"/>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r>
      <w:tr>
        <w:trPr>
          <w:trHeight w:val="148"/>
        </w:trPr>
        <w:tc>
          <w:tcPr>
            <w:tcW w:w="780" w:type="dxa"/>
            <w:vAlign w:val="bottom"/>
          </w:tcPr>
          <w:p>
            <w:pPr>
              <w:spacing w:after="0"/>
              <w:rPr>
                <w:sz w:val="12"/>
                <w:szCs w:val="12"/>
                <w:color w:val="auto"/>
              </w:rPr>
            </w:pPr>
          </w:p>
        </w:tc>
        <w:tc>
          <w:tcPr>
            <w:tcW w:w="18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r>
      <w:tr>
        <w:trPr>
          <w:trHeight w:val="148"/>
        </w:trPr>
        <w:tc>
          <w:tcPr>
            <w:tcW w:w="780" w:type="dxa"/>
            <w:vAlign w:val="bottom"/>
          </w:tcPr>
          <w:p>
            <w:pPr>
              <w:spacing w:after="0"/>
              <w:rPr>
                <w:sz w:val="12"/>
                <w:szCs w:val="12"/>
                <w:color w:val="auto"/>
              </w:rPr>
            </w:pPr>
          </w:p>
        </w:tc>
        <w:tc>
          <w:tcPr>
            <w:tcW w:w="18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r>
      <w:tr>
        <w:trPr>
          <w:trHeight w:val="173"/>
        </w:trPr>
        <w:tc>
          <w:tcPr>
            <w:tcW w:w="780" w:type="dxa"/>
            <w:vAlign w:val="bottom"/>
          </w:tcPr>
          <w:p>
            <w:pPr>
              <w:spacing w:after="0"/>
              <w:rPr>
                <w:sz w:val="15"/>
                <w:szCs w:val="15"/>
                <w:color w:val="auto"/>
              </w:rPr>
            </w:pPr>
          </w:p>
        </w:tc>
        <w:tc>
          <w:tcPr>
            <w:tcW w:w="18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50"/>
        </w:trPr>
        <w:tc>
          <w:tcPr>
            <w:tcW w:w="780" w:type="dxa"/>
            <w:vAlign w:val="bottom"/>
            <w:tcBorders>
              <w:top w:val="single" w:sz="8" w:color="BAD8EB"/>
            </w:tcBorders>
            <w:shd w:val="clear" w:color="auto" w:fill="BAD8EB"/>
          </w:tcPr>
          <w:p>
            <w:pPr>
              <w:spacing w:after="0"/>
              <w:rPr>
                <w:sz w:val="21"/>
                <w:szCs w:val="21"/>
                <w:color w:val="auto"/>
              </w:rPr>
            </w:pPr>
          </w:p>
        </w:tc>
        <w:tc>
          <w:tcPr>
            <w:tcW w:w="1140" w:type="dxa"/>
            <w:vAlign w:val="bottom"/>
            <w:tcBorders>
              <w:top w:val="single" w:sz="8" w:color="auto"/>
            </w:tcBorders>
            <w:shd w:val="clear" w:color="auto" w:fill="BAD8EB"/>
          </w:tcPr>
          <w:p>
            <w:pPr>
              <w:spacing w:after="0"/>
              <w:rPr>
                <w:sz w:val="21"/>
                <w:szCs w:val="21"/>
                <w:color w:val="auto"/>
              </w:rPr>
            </w:pPr>
          </w:p>
        </w:tc>
        <w:tc>
          <w:tcPr>
            <w:tcW w:w="700" w:type="dxa"/>
            <w:vAlign w:val="bottom"/>
            <w:tcBorders>
              <w:top w:val="single" w:sz="8" w:color="BAD8EB"/>
            </w:tcBorders>
            <w:shd w:val="clear" w:color="auto" w:fill="BAD8EB"/>
          </w:tcPr>
          <w:p>
            <w:pPr>
              <w:spacing w:after="0"/>
              <w:rPr>
                <w:sz w:val="21"/>
                <w:szCs w:val="21"/>
                <w:color w:val="auto"/>
              </w:rPr>
            </w:pPr>
          </w:p>
        </w:tc>
        <w:tc>
          <w:tcPr>
            <w:tcW w:w="1120" w:type="dxa"/>
            <w:vAlign w:val="bottom"/>
            <w:tcBorders>
              <w:top w:val="single" w:sz="8" w:color="auto"/>
            </w:tcBorders>
            <w:shd w:val="clear" w:color="auto" w:fill="BAD8EB"/>
          </w:tcPr>
          <w:p>
            <w:pPr>
              <w:spacing w:after="0"/>
              <w:rPr>
                <w:sz w:val="21"/>
                <w:szCs w:val="21"/>
                <w:color w:val="auto"/>
              </w:rPr>
            </w:pPr>
          </w:p>
        </w:tc>
      </w:tr>
      <w:tr>
        <w:trPr>
          <w:trHeight w:val="297"/>
        </w:trPr>
        <w:tc>
          <w:tcPr>
            <w:tcW w:w="1920" w:type="dxa"/>
            <w:vAlign w:val="bottom"/>
            <w:gridSpan w:val="2"/>
          </w:tcPr>
          <w:p>
            <w:pPr>
              <w:jc w:val="right"/>
              <w:spacing w:after="0" w:line="297" w:lineRule="exact"/>
              <w:rPr>
                <w:sz w:val="20"/>
                <w:szCs w:val="20"/>
                <w:color w:val="auto"/>
              </w:rPr>
            </w:pPr>
            <w:r>
              <w:rPr>
                <w:rFonts w:ascii="Times New Roman" w:cs="Times New Roman" w:eastAsia="Times New Roman" w:hAnsi="Times New Roman"/>
                <w:sz w:val="18"/>
                <w:szCs w:val="18"/>
                <w:color w:val="auto"/>
              </w:rPr>
              <w:t>7,013,850</w:t>
            </w:r>
            <w:r>
              <w:rPr>
                <w:rFonts w:ascii="Times New Roman" w:cs="Times New Roman" w:eastAsia="Times New Roman" w:hAnsi="Times New Roman"/>
                <w:sz w:val="26"/>
                <w:szCs w:val="26"/>
                <w:color w:val="auto"/>
                <w:vertAlign w:val="superscript"/>
              </w:rPr>
              <w:t>(14)</w:t>
            </w:r>
          </w:p>
        </w:tc>
        <w:tc>
          <w:tcPr>
            <w:tcW w:w="700" w:type="dxa"/>
            <w:vAlign w:val="bottom"/>
          </w:tcPr>
          <w:p>
            <w:pPr>
              <w:spacing w:after="0"/>
              <w:rPr>
                <w:sz w:val="24"/>
                <w:szCs w:val="24"/>
                <w:color w:val="auto"/>
              </w:rPr>
            </w:pPr>
          </w:p>
        </w:tc>
        <w:tc>
          <w:tcPr>
            <w:tcW w:w="11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7.33%</w:t>
            </w:r>
          </w:p>
        </w:tc>
      </w:tr>
      <w:tr>
        <w:trPr>
          <w:trHeight w:val="297"/>
        </w:trPr>
        <w:tc>
          <w:tcPr>
            <w:tcW w:w="1920" w:type="dxa"/>
            <w:vAlign w:val="bottom"/>
            <w:gridSpan w:val="2"/>
            <w:shd w:val="clear" w:color="auto" w:fill="BAD8EB"/>
          </w:tcPr>
          <w:p>
            <w:pPr>
              <w:jc w:val="right"/>
              <w:spacing w:after="0" w:line="297" w:lineRule="exact"/>
              <w:rPr>
                <w:sz w:val="20"/>
                <w:szCs w:val="20"/>
                <w:color w:val="auto"/>
              </w:rPr>
            </w:pPr>
            <w:r>
              <w:rPr>
                <w:rFonts w:ascii="Times New Roman" w:cs="Times New Roman" w:eastAsia="Times New Roman" w:hAnsi="Times New Roman"/>
                <w:sz w:val="18"/>
                <w:szCs w:val="18"/>
                <w:color w:val="auto"/>
              </w:rPr>
              <w:t>5,548,508</w:t>
            </w:r>
            <w:r>
              <w:rPr>
                <w:rFonts w:ascii="Times New Roman" w:cs="Times New Roman" w:eastAsia="Times New Roman" w:hAnsi="Times New Roman"/>
                <w:sz w:val="26"/>
                <w:szCs w:val="26"/>
                <w:color w:val="auto"/>
                <w:vertAlign w:val="superscript"/>
              </w:rPr>
              <w:t>(15)</w:t>
            </w:r>
          </w:p>
        </w:tc>
        <w:tc>
          <w:tcPr>
            <w:tcW w:w="700" w:type="dxa"/>
            <w:vAlign w:val="bottom"/>
            <w:shd w:val="clear" w:color="auto" w:fill="BAD8EB"/>
          </w:tcPr>
          <w:p>
            <w:pPr>
              <w:spacing w:after="0"/>
              <w:rPr>
                <w:sz w:val="24"/>
                <w:szCs w:val="24"/>
                <w:color w:val="auto"/>
              </w:rPr>
            </w:pPr>
          </w:p>
        </w:tc>
        <w:tc>
          <w:tcPr>
            <w:tcW w:w="1120" w:type="dxa"/>
            <w:vAlign w:val="bottom"/>
            <w:shd w:val="clear" w:color="auto" w:fill="BAD8EB"/>
          </w:tcPr>
          <w:p>
            <w:pPr>
              <w:jc w:val="right"/>
              <w:ind w:right="141"/>
              <w:spacing w:after="0"/>
              <w:rPr>
                <w:sz w:val="20"/>
                <w:szCs w:val="20"/>
                <w:color w:val="auto"/>
              </w:rPr>
            </w:pPr>
            <w:r>
              <w:rPr>
                <w:rFonts w:ascii="Times New Roman" w:cs="Times New Roman" w:eastAsia="Times New Roman" w:hAnsi="Times New Roman"/>
                <w:sz w:val="18"/>
                <w:szCs w:val="18"/>
                <w:color w:val="auto"/>
              </w:rPr>
              <w:t>5.80%</w:t>
            </w:r>
          </w:p>
        </w:tc>
      </w:tr>
      <w:tr>
        <w:trPr>
          <w:trHeight w:val="396"/>
        </w:trPr>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5,011,809</w:t>
            </w:r>
            <w:r>
              <w:rPr>
                <w:rFonts w:ascii="Times New Roman" w:cs="Times New Roman" w:eastAsia="Times New Roman" w:hAnsi="Times New Roman"/>
                <w:sz w:val="26"/>
                <w:szCs w:val="26"/>
                <w:color w:val="auto"/>
                <w:vertAlign w:val="superscript"/>
              </w:rPr>
              <w:t>(16)</w:t>
            </w:r>
          </w:p>
        </w:tc>
        <w:tc>
          <w:tcPr>
            <w:tcW w:w="700" w:type="dxa"/>
            <w:vAlign w:val="bottom"/>
          </w:tcPr>
          <w:p>
            <w:pPr>
              <w:spacing w:after="0"/>
              <w:rPr>
                <w:sz w:val="24"/>
                <w:szCs w:val="24"/>
                <w:color w:val="auto"/>
              </w:rPr>
            </w:pPr>
          </w:p>
        </w:tc>
        <w:tc>
          <w:tcPr>
            <w:tcW w:w="11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5.24%</w:t>
            </w:r>
          </w:p>
        </w:tc>
      </w:tr>
    </w:tbl>
    <w:p>
      <w:pPr>
        <w:spacing w:after="0" w:line="72" w:lineRule="exact"/>
        <w:rPr>
          <w:sz w:val="20"/>
          <w:szCs w:val="20"/>
          <w:color w:val="auto"/>
        </w:rPr>
      </w:pPr>
    </w:p>
    <w:p>
      <w:pPr>
        <w:sectPr>
          <w:pgSz w:w="11900" w:h="16838" w:orient="portrait"/>
          <w:cols w:equalWidth="0" w:num="2">
            <w:col w:w="6220" w:space="720"/>
            <w:col w:w="4180"/>
          </w:cols>
          <w:pgMar w:left="320" w:top="482" w:right="459" w:bottom="1440" w:gutter="0" w:footer="0" w:header="0"/>
          <w:type w:val="continuous"/>
        </w:sect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common stock.</w:t>
      </w:r>
    </w:p>
    <w:p>
      <w:pPr>
        <w:spacing w:after="0" w:line="27" w:lineRule="exact"/>
        <w:rPr>
          <w:sz w:val="20"/>
          <w:szCs w:val="20"/>
          <w:color w:val="auto"/>
        </w:rPr>
      </w:pPr>
    </w:p>
    <w:p>
      <w:pPr>
        <w:ind w:left="540" w:right="14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beneficially owned by such individual or entity, and includes shares held in the beneficial owner’s name or jointly with others, or in the name of a bank, nominee or trustee for the beneficial owner’s account.</w:t>
      </w:r>
    </w:p>
    <w:p>
      <w:pPr>
        <w:ind w:left="54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52,614 shares held of record by Mr. Girouard, (ii) 8,342,701 shares held of record by the 2008 D&amp;T Girouard Revocable Trust, for which Mr. Girouard serves as co-trustee, (iii) 1,000,000 shares held of record by DTG GRAT LLC, for which Mr. Girouard serves as manager, (iv) 546,501 shares held of record by Mr. Girouard’s sister-in-law, Tristen Baird Willard, as trustee of the JRG 2020 Exempt Gift Trust, (v) 546,501 shares held of record by Mr. Girouard’s sister-in-law, Tristen Baird Willard, as trustee of the TMG 2020 Exempt Gift Trust, (vi) 126,057 shares held of record by Mr. Girouard’s sister-in-law, Tristen Baird Willard, as trustee of the JRG Nonexempt Gift Trust, (vii) 126,057 shares held of record by Mr. Girouard’s sister-in-law, Tristen Baird Willard, as trustee of the TMG Nonexempt Gift trust, and (viii) 2,531,022 shares subject to options exercisable within 60 days of March 31, 2026 held by Mr. Girouard.</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16,942 shares subject to RSU vesting and settlement within 60 days of March 31, 2026.</w:t>
      </w:r>
    </w:p>
    <w:p>
      <w:pPr>
        <w:spacing w:after="0" w:line="9"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182,188 shares held of record by Mr. Datta, (ii) 1,520,748 shares subject to options exercisable within 60 days of March 31, 2026 held by Mr. Datta, and (iii) 19,987 shares subject to RSU vesting and settlement within 60 days of March 31, 2026.</w:t>
      </w:r>
    </w:p>
    <w:p>
      <w:pPr>
        <w:ind w:left="540" w:right="8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1,008,116 shares held of record by Mr. Gu, (ii) 44,930 shares held of record by The Paul Xinquan Gu 2021 Gifting Trust, of which Mr. Gu is a trustee, (iii) 80,000 held of record by JECCO, LLC, of which Mr. Gu is a managing member, (iv) 20,000 shares held of record by The Gu Qiao Family Trust, of which Mr. Gu is a managing member, (v) 573,419 shares subject to options exercisable within 60 days of March 31, 2026 held by Mr. Gu, and (vi) 16,133 shares subject to RSU vesting and settlement within 60 days of March 31, 2026.</w:t>
      </w:r>
    </w:p>
    <w:p>
      <w:pPr>
        <w:spacing w:after="0" w:line="1" w:lineRule="exact"/>
        <w:rPr>
          <w:rFonts w:ascii="Times New Roman" w:cs="Times New Roman" w:eastAsia="Times New Roman" w:hAnsi="Times New Roman"/>
          <w:sz w:val="18"/>
          <w:szCs w:val="18"/>
          <w:color w:val="auto"/>
        </w:rPr>
      </w:pPr>
    </w:p>
    <w:p>
      <w:pPr>
        <w:ind w:left="540" w:right="50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31,637 shares held of record by the Darling Family Trust, (ii) 131,819 shares subject to options exercisable within 60 days of March 31, 2026 held by Mr. Darling, and (iii) 15,422 shares subject to RSU vesting and settlement within 60 days of March 31, 2026.</w:t>
      </w:r>
    </w:p>
    <w:p>
      <w:pPr>
        <w:ind w:left="540" w:right="2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3,817 shares held of record by Mr. Bernard and (ii) 1,099 shares subject to RSU vesting and settlement within 60 days of March 31, 2026.</w:t>
      </w:r>
    </w:p>
    <w:p>
      <w:pPr>
        <w:ind w:left="540" w:right="42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 shares held of record by Ms. Cooper, (ii) 23,393 shares held of record by the Edward and Kerry Cooper Living Trust, of which Ms. Cooper serves as co-trustee, and (iii) 4,314 shares subject to RSU vesting and settlement within 60 days of March 31, 2026.</w:t>
      </w:r>
    </w:p>
    <w:p>
      <w:pPr>
        <w:ind w:left="540" w:right="28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26,359 shares held of record by Ms. Hentges, (ii) 98,295 shares subject to options exercisable within 60 days of March 31, 2026 held by Ms. Hentges, and (iii) 4,314 shares subject to RSU vesting and settlement within 60 days of March 31, 2026.</w:t>
      </w:r>
    </w:p>
    <w:p>
      <w:pPr>
        <w:ind w:left="540" w:right="6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25,357 shares held of record by Mr. Huber and (ii) 4,314 shares subject to RSU vesting and settlement within 60 days of March 31, 2026.</w:t>
      </w:r>
    </w:p>
    <w:p>
      <w:pPr>
        <w:ind w:left="540" w:right="22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28,694 shares held of record by Mr. O’Kelly, (ii) 192,443 shares subject to options exercisable within 60 days of March 31, 2026 held by Mr. O’Kelly, and (iii) 4,314 shares subject to RSU vesting and settlement within 60 days of March 31, 2026.</w:t>
      </w:r>
    </w:p>
    <w:p>
      <w:pPr>
        <w:ind w:left="540" w:right="160" w:hanging="424"/>
        <w:spacing w:after="0" w:line="26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26,642 shares held of record by Mr. Terry, (ii) 68,295 shares subject to options exercisable within 60 days of March 31, 2026 held by Mr. Terry, and (iii) 4,314 shares subject to RSU vesting and settlement within 60 days of March 31, 2026.</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60" w:hanging="424"/>
        <w:spacing w:after="0" w:line="257"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12,243,564 shares beneficially owned by our executive officers and directors, (ii) 5,116,041 shares subject to options exercisable within 60 days of March 31, 2026 held by our executive officers and directors, and (iii) 91,153 shares subject to RSU vesting and settlement within 60 days of March 31, 2026 by our executive officers and directors.</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beneficially owned as of December 29, 2023, based on a Schedule 13G/A, filed with the SEC on February 13, 2024 by The Vanguard Group. Of the shares of common stock beneficially owned, The Vanguard Group reported that it had shared voting power with respect to 136,450 shares, shared dispositive power with respect to 212,628 shares, and sole dispositive power with respect to 6,801,222 shares. The Vanguard Group lists its address as 100 Vanguard Boulevard, Malvern, Pennsylvania 19355.</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beneficially owned as of December 31, 2023, based on a Schedule 13G, filed with the SEC on January 29, 2024 by BlackRock, Inc. of the shares of common stock beneficially owned, BlackRock, Inc. reported that it had sole voting power with respect to 5,443,415 shares and sole dispositive power with respect to all shares beneficially owned. BlackRock, Inc. lists its address as 50 Hudson Yards, New York, New York 10001.</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53"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beneficially owned as of December 31, 2025, based on a Schedule 13G, filed with the SEC on February 17, 2026 by Jericho Capital Asset Management L.P. Of the shares of common stock beneficially owned, Jericho Capital Asset Management L.P. reported that it had shared voting power with respect to 5,011,809 shares and shared dispositive power with respect to all shares beneficially owned. Jericho Capital Asset Management L.P. lists its address as 510 Madison Avenue, 27th Floor, New York, New York 10022.</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change of control and severance agreements with our current executive officers that, among other matters, provide for certain severance and change of control benefits. For additional information, refer to the section entitled “</w:t>
      </w:r>
      <w:r>
        <w:rPr>
          <w:rFonts w:ascii="Times New Roman" w:cs="Times New Roman" w:eastAsia="Times New Roman" w:hAnsi="Times New Roman"/>
          <w:sz w:val="18"/>
          <w:szCs w:val="18"/>
          <w:i w:val="1"/>
          <w:iCs w:val="1"/>
          <w:color w:val="auto"/>
        </w:rPr>
        <w:t>Executive Compensation – Potential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upon Termination or Change of Control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The indemnification agreements, our amended and restated certificate of incorporation, and amended and restated bylaws require us to indemnify our directors and executive officers to the fullest extent permitted by Delaware law.</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Other than as described above, since January 1, 2025, we have not entered into any other transactions, nor are there any currently proposed transactions, between us and a related party where the amount involved exceeds, or would exceed, $120,000, and in which any related person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written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87" w:lineRule="exact"/>
        <w:rPr>
          <w:sz w:val="20"/>
          <w:szCs w:val="20"/>
          <w:color w:val="auto"/>
        </w:rPr>
      </w:pPr>
    </w:p>
    <w:p>
      <w:pPr>
        <w:ind w:left="120" w:right="500" w:firstLine="440"/>
        <w:spacing w:after="0" w:line="276" w:lineRule="auto"/>
        <w:rPr>
          <w:sz w:val="20"/>
          <w:szCs w:val="20"/>
          <w:color w:val="auto"/>
        </w:rPr>
      </w:pPr>
      <w:r>
        <w:rPr>
          <w:rFonts w:ascii="Times New Roman" w:cs="Times New Roman" w:eastAsia="Times New Roman" w:hAnsi="Times New Roman"/>
          <w:sz w:val="17"/>
          <w:szCs w:val="17"/>
          <w:color w:val="auto"/>
        </w:rPr>
        <w:t>Under this policy, all related person transactions may be consummated or continued only if approved or ratified by our audit committee. In determining whether to approve or ratify any such proposal, our audit committee will take into account, among other factors it deems appropriate,</w:t>
      </w:r>
    </w:p>
    <w:p>
      <w:pPr>
        <w:spacing w:after="0" w:line="1" w:lineRule="exact"/>
        <w:rPr>
          <w:sz w:val="20"/>
          <w:szCs w:val="20"/>
          <w:color w:val="auto"/>
        </w:rPr>
      </w:pPr>
    </w:p>
    <w:p>
      <w:pPr>
        <w:ind w:left="120" w:right="20" w:hanging="4"/>
        <w:spacing w:after="0" w:line="250" w:lineRule="auto"/>
        <w:tabs>
          <w:tab w:leader="none" w:pos="3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is on terms no less favorable than terms generally available to an unaffiliated third party, (b) the extent of the related person’s interest in the transaction, and (c) whether the transaction would impair the independence of an outside director. The policy grants standing pre-approval of certain transactions, including (i) any compensation paid to a director or executive officer if such compensation (A) is approved by our compensation committee or our Board, (B) is required to be reported in our annual proxy statement, or (C) in the case of an executive officer who is not an immediate family member of any other executive officer, would have been required to be reported in our annual proxy statement if the executive officer was a “Named Executive Officer,” (ii) transactions with another company at which a related person’s only relationship with such other company is as a non-executive employee, director, or beneficial owner of less than 10% equity interest of that company, if the aggregate amount involved does not exceed the greater of $200,000 or 5% of such company’s total annual revenues and the transaction is on terms no less favorable than terms generally available to an unaffiliated third-party under the same or similar circumstances, (iii) charitable contributions, grants or endowments by us to a charitable organization, foundation or university where the related person’s only relationship with such charitable organization is as a non-executive employee or director, if the aggregate amount involved does not exceed the greater of $200,000 or 5% of the charitable organization’s total annual receipts,</w:t>
      </w:r>
    </w:p>
    <w:p>
      <w:pPr>
        <w:spacing w:after="0" w:line="4" w:lineRule="exact"/>
        <w:rPr>
          <w:rFonts w:ascii="Times New Roman" w:cs="Times New Roman" w:eastAsia="Times New Roman" w:hAnsi="Times New Roman"/>
          <w:sz w:val="18"/>
          <w:szCs w:val="18"/>
          <w:color w:val="auto"/>
        </w:rPr>
      </w:pPr>
    </w:p>
    <w:p>
      <w:pPr>
        <w:ind w:lef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transactions where a related person’s interest arises solely from the ownership of our common stock and all holders of our common stock received the same benefit on a pro rata basis, and (v) any indemnification or advancement of expenses made pursuant to our certificate of incorporation or bylaws or any related agreement.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who own more than 10% of a registered class of our equity securities, to file reports of ownership and changes of ownership with the SEC and to furnish us with copies of all Section 16(a) forms they file. SEC regulations require us to identify in this proxy statement anyone who filed a required report late during the most recent fiscal year.</w:t>
      </w:r>
    </w:p>
    <w:p>
      <w:pPr>
        <w:spacing w:after="0" w:line="176"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Based solely on our review of the copies of such forms furnished to us and written representations from the directors and executive officers, we believe that during the fiscal year ended December 31, 2025 all Section 16(a) filing requirements were satisfied on a timely basis, except that one Form 4 reporting a charitable gift of shares by Scott Darling was filed late due to an administrative oversight. The report was filed on October 15, 2025.</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Annual Report and SEC Filings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financial statements for the year ended December 31, 2025 are included in our Annual Report on Form 10-K, which we will make available to stockholders at the same time as this proxy statement. Our Annual Report on Form 10-K and this proxy statement are posted on our website at ir.upstart.com and are available from the SEC at its website at www.sec.gov. You may also obtain a copy of our Annual Report on Form 10-K without charge by sending a written request to Upstart Holdings, Inc., Attention: Investor Relations, 2950 S. Delaware Street, Suite 410, San Mateo, California 94403.</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Board does not presently know of any other matters to be presented at the 2026 Annual Meeting. If any additional matters are properly presented at the 2026 Annual Meeting, the designated proxy holders listed in this proxy statement will have discretion to vote shares they represent in accordance with their own judgment on such matters.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It is important that your shares be represented at the 2026 Annual Meeting, regardless of the number of shares that you hold. You are, therefore, urged to vote by telephone or by using the Internet as instructed in the Notice or on the accompanying proxy card or, if you requested to receive a printed copy of the proxy materials, by executing and returning, at your earliest convenience, the accompanying proxy card or voter instructions form in the envelope that has also been provided.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3"/>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lowerRoman"/>
      <w:start w:val="4"/>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3"/>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2"/>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3"/>
    </w:lvl>
  </w:abstractNum>
  <w:abstractNum w:abstractNumId="48">
    <w:nsid w:val="12E685FB"/>
    <w:multiLevelType w:val="hybridMultilevel"/>
    <w:lvl w:ilvl="0">
      <w:lvlJc w:val="left"/>
      <w:lvlText w:val="(%1)"/>
      <w:numFmt w:val="decimal"/>
      <w:start w:val="4"/>
    </w:lvl>
  </w:abstractNum>
  <w:abstractNum w:abstractNumId="49">
    <w:nsid w:val="70C6A529"/>
    <w:multiLevelType w:val="hybridMultilevel"/>
    <w:lvl w:ilvl="0">
      <w:lvlJc w:val="left"/>
      <w:lvlText w:val="(%1)"/>
      <w:numFmt w:val="decimal"/>
      <w:start w:val="6"/>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3"/>
    </w:lvl>
  </w:abstractNum>
  <w:abstractNum w:abstractNumId="55">
    <w:nsid w:val="275AC79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2026-04-16T15:16:17Z</dcterms:created>
  <dcterms:modified xsi:type="dcterms:W3CDTF">2026-04-16T15:16:17Z</dcterms:modified>
</cp:coreProperties>
</file>