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3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(Mark One)</w:t>
      </w:r>
    </w:p>
    <w:p>
      <w:pPr>
        <w:spacing w:after="0" w:line="154" w:lineRule="exact"/>
        <w:rPr>
          <w:sz w:val="24"/>
          <w:szCs w:val="24"/>
          <w:color w:val="auto"/>
        </w:rPr>
      </w:pPr>
    </w:p>
    <w:p>
      <w:pPr>
        <w:ind w:left="4100" w:right="2020" w:hanging="3539"/>
        <w:spacing w:after="0" w:line="213" w:lineRule="auto"/>
        <w:tabs>
          <w:tab w:leader="none" w:pos="1386" w:val="left"/>
        </w:tabs>
        <w:numPr>
          <w:ilvl w:val="0"/>
          <w:numId w:val="1"/>
        </w:numPr>
        <w:rPr>
          <w:rFonts w:ascii="MS PGothic" w:cs="MS PGothic" w:eastAsia="MS PGothic" w:hAnsi="MS PGothic"/>
          <w:sz w:val="29"/>
          <w:szCs w:val="29"/>
          <w:color w:val="auto"/>
        </w:rPr>
      </w:pPr>
      <w:r>
        <w:rPr>
          <w:rFonts w:ascii="Arial" w:cs="Arial" w:eastAsia="Arial" w:hAnsi="Arial"/>
          <w:sz w:val="16"/>
          <w:szCs w:val="16"/>
          <w:color w:val="auto"/>
        </w:rPr>
        <w:t>QUARTERLY REPORT PURSUANT TO SECTION 13 OR 15(d) OF THE SECURITIES EXCHANGE ACT OF 1934 For the quarterly period ended March 31, 2021</w:t>
      </w:r>
    </w:p>
    <w:p>
      <w:pPr>
        <w:spacing w:after="0" w:line="7" w:lineRule="exact"/>
        <w:rPr>
          <w:rFonts w:ascii="MS PGothic" w:cs="MS PGothic" w:eastAsia="MS PGothic" w:hAnsi="MS PGothic"/>
          <w:sz w:val="29"/>
          <w:szCs w:val="29"/>
          <w:color w:val="auto"/>
        </w:rPr>
      </w:pPr>
    </w:p>
    <w:p>
      <w:pPr>
        <w:ind w:left="5500"/>
        <w:spacing w:after="0"/>
        <w:rPr>
          <w:rFonts w:ascii="MS PGothic" w:cs="MS PGothic" w:eastAsia="MS PGothic" w:hAnsi="MS PGothic"/>
          <w:sz w:val="29"/>
          <w:szCs w:val="29"/>
          <w:color w:val="auto"/>
        </w:rPr>
      </w:pPr>
      <w:r>
        <w:rPr>
          <w:rFonts w:ascii="Arial" w:cs="Arial" w:eastAsia="Arial" w:hAnsi="Arial"/>
          <w:sz w:val="16"/>
          <w:szCs w:val="16"/>
          <w:b w:val="1"/>
          <w:bCs w:val="1"/>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Arial" w:cs="Arial" w:eastAsia="Arial" w:hAnsi="Arial"/>
          <w:sz w:val="16"/>
          <w:szCs w:val="16"/>
          <w:color w:val="auto"/>
        </w:rPr>
        <w:t>TRANSITION REPORT PURSUANT TO SECTION 13 OR 15(d) OF THE SECURITIES EXCHANGE ACT OF 1934</w:t>
      </w:r>
    </w:p>
    <w:p>
      <w:pPr>
        <w:spacing w:after="0" w:line="7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r>
        <w:rPr>
          <w:rFonts w:ascii="Arial" w:cs="Arial" w:eastAsia="Arial" w:hAnsi="Arial"/>
          <w:sz w:val="16"/>
          <w:szCs w:val="16"/>
          <w:b w:val="1"/>
          <w:bCs w:val="1"/>
          <w:u w:val="single" w:color="auto"/>
          <w:color w:val="auto"/>
        </w:rPr>
        <w:t>_________</w:t>
      </w:r>
      <w:r>
        <w:rPr>
          <w:rFonts w:ascii="Arial" w:cs="Arial" w:eastAsia="Arial" w:hAnsi="Arial"/>
          <w:sz w:val="16"/>
          <w:szCs w:val="16"/>
          <w:b w:val="1"/>
          <w:bCs w:val="1"/>
          <w:color w:val="auto"/>
        </w:rPr>
        <w:t xml:space="preserve">to </w:t>
      </w:r>
      <w:r>
        <w:rPr>
          <w:rFonts w:ascii="Arial" w:cs="Arial" w:eastAsia="Arial" w:hAnsi="Arial"/>
          <w:sz w:val="16"/>
          <w:szCs w:val="16"/>
          <w:b w:val="1"/>
          <w:bCs w:val="1"/>
          <w:u w:val="single" w:color="auto"/>
          <w:color w:val="auto"/>
        </w:rPr>
        <w:t>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001-39797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Upstart Holdings,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53"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Arial" w:cs="Arial" w:eastAsia="Arial" w:hAnsi="Arial"/>
                <w:sz w:val="16"/>
                <w:szCs w:val="16"/>
                <w:color w:val="auto"/>
                <w:w w:val="93"/>
              </w:rPr>
              <w:t>(State or other jurisdiction of</w:t>
            </w:r>
          </w:p>
        </w:tc>
        <w:tc>
          <w:tcPr>
            <w:tcW w:w="3260" w:type="dxa"/>
            <w:vAlign w:val="bottom"/>
          </w:tcPr>
          <w:p>
            <w:pPr>
              <w:jc w:val="center"/>
              <w:ind w:left="1979"/>
              <w:spacing w:after="0" w:line="162" w:lineRule="exact"/>
              <w:rPr>
                <w:sz w:val="20"/>
                <w:szCs w:val="20"/>
                <w:color w:val="auto"/>
              </w:rPr>
            </w:pPr>
            <w:r>
              <w:rPr>
                <w:rFonts w:ascii="Arial" w:cs="Arial" w:eastAsia="Arial" w:hAnsi="Arial"/>
                <w:sz w:val="16"/>
                <w:szCs w:val="16"/>
                <w:color w:val="auto"/>
                <w:w w:val="95"/>
              </w:rPr>
              <w:t>(I.R.S. Employer</w:t>
            </w:r>
          </w:p>
        </w:tc>
      </w:tr>
      <w:tr>
        <w:trPr>
          <w:trHeight w:val="206"/>
        </w:trPr>
        <w:tc>
          <w:tcPr>
            <w:tcW w:w="4020" w:type="dxa"/>
            <w:vAlign w:val="bottom"/>
          </w:tcPr>
          <w:p>
            <w:pPr>
              <w:jc w:val="center"/>
              <w:ind w:right="1979"/>
              <w:spacing w:after="0"/>
              <w:rPr>
                <w:sz w:val="20"/>
                <w:szCs w:val="20"/>
                <w:color w:val="auto"/>
              </w:rPr>
            </w:pPr>
            <w:r>
              <w:rPr>
                <w:rFonts w:ascii="Arial" w:cs="Arial" w:eastAsia="Arial" w:hAnsi="Arial"/>
                <w:sz w:val="16"/>
                <w:szCs w:val="16"/>
                <w:color w:val="auto"/>
                <w:w w:val="94"/>
              </w:rPr>
              <w:t>incorporation or organization)</w:t>
            </w:r>
          </w:p>
        </w:tc>
        <w:tc>
          <w:tcPr>
            <w:tcW w:w="3260" w:type="dxa"/>
            <w:vAlign w:val="bottom"/>
          </w:tcPr>
          <w:p>
            <w:pPr>
              <w:jc w:val="center"/>
              <w:ind w:left="1979"/>
              <w:spacing w:after="0"/>
              <w:rPr>
                <w:sz w:val="20"/>
                <w:szCs w:val="20"/>
                <w:color w:val="auto"/>
              </w:rPr>
            </w:pPr>
            <w:r>
              <w:rPr>
                <w:rFonts w:ascii="Arial" w:cs="Arial" w:eastAsia="Arial" w:hAnsi="Arial"/>
                <w:sz w:val="16"/>
                <w:szCs w:val="16"/>
                <w:color w:val="auto"/>
                <w:w w:val="96"/>
              </w:rPr>
              <w:t>Identification No.)</w:t>
            </w:r>
          </w:p>
        </w:tc>
      </w:tr>
    </w:tbl>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Upstart Holdings,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2950 S. Delaware Street, Suite 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Mateo, California 94403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(650) 204-1000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8"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color w:val="auto"/>
                <w:w w:val="93"/>
              </w:rPr>
              <w:t>Title of each class:</w:t>
            </w:r>
          </w:p>
        </w:tc>
        <w:tc>
          <w:tcPr>
            <w:tcW w:w="2620" w:type="dxa"/>
            <w:vAlign w:val="bottom"/>
            <w:gridSpan w:val="3"/>
          </w:tcPr>
          <w:p>
            <w:pPr>
              <w:jc w:val="center"/>
              <w:ind w:right="540"/>
              <w:spacing w:after="0"/>
              <w:rPr>
                <w:sz w:val="20"/>
                <w:szCs w:val="20"/>
                <w:color w:val="auto"/>
              </w:rPr>
            </w:pPr>
            <w:r>
              <w:rPr>
                <w:rFonts w:ascii="Arial" w:cs="Arial" w:eastAsia="Arial" w:hAnsi="Arial"/>
                <w:sz w:val="14"/>
                <w:szCs w:val="14"/>
                <w:color w:val="auto"/>
                <w:w w:val="93"/>
              </w:rPr>
              <w:t>Trading Symbol</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98"/>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80" w:type="dxa"/>
            <w:vAlign w:val="bottom"/>
          </w:tcPr>
          <w:p>
            <w:pPr>
              <w:spacing w:after="0"/>
              <w:rPr>
                <w:sz w:val="17"/>
                <w:szCs w:val="17"/>
                <w:color w:val="auto"/>
              </w:rPr>
            </w:pPr>
          </w:p>
        </w:tc>
        <w:tc>
          <w:tcPr>
            <w:tcW w:w="20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UPST</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182" w:lineRule="exact"/>
        <w:rPr>
          <w:sz w:val="24"/>
          <w:szCs w:val="24"/>
          <w:color w:val="auto"/>
        </w:rPr>
      </w:pPr>
    </w:p>
    <w:p>
      <w:pPr>
        <w:ind w:right="20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4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52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72"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44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May 7, 2021 there were 76,904,178 shares of the registrant’s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8"/>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7080" w:type="dxa"/>
            <w:vAlign w:val="bottom"/>
            <w:gridSpan w:val="13"/>
            <w:vMerge w:val="restart"/>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FF"/>
            </w:tcBorders>
            <w:gridSpan w:val="8"/>
            <w:vMerge w:val="continue"/>
          </w:tcPr>
          <w:p>
            <w:pPr>
              <w:spacing w:after="0"/>
              <w:rPr>
                <w:sz w:val="14"/>
                <w:szCs w:val="14"/>
                <w:color w:val="auto"/>
              </w:rPr>
            </w:pPr>
          </w:p>
        </w:tc>
        <w:tc>
          <w:tcPr>
            <w:tcW w:w="7080" w:type="dxa"/>
            <w:vAlign w:val="bottom"/>
            <w:gridSpan w:val="13"/>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w:t>
              </w:r>
            </w:hyperlink>
          </w:p>
        </w:tc>
        <w:tc>
          <w:tcPr>
            <w:tcW w:w="6980" w:type="dxa"/>
            <w:vAlign w:val="bottom"/>
            <w:gridSpan w:val="12"/>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5560" w:type="dxa"/>
            <w:vAlign w:val="bottom"/>
            <w:gridSpan w:val="9"/>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w:t>
              </w:r>
            </w:hyperlink>
          </w:p>
        </w:tc>
        <w:tc>
          <w:tcPr>
            <w:tcW w:w="10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Borders>
              <w:bottom w:val="single" w:sz="8" w:color="0000FF"/>
            </w:tcBorders>
            <w:gridSpan w:val="17"/>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Consolidated Statements of Convertible Preferred Stock and Stockholders’ Equity (Deficit)</w:t>
              </w:r>
            </w:hyperlink>
          </w:p>
        </w:tc>
        <w:tc>
          <w:tcPr>
            <w:tcW w:w="1060" w:type="dxa"/>
            <w:vAlign w:val="bottom"/>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w:t>
              </w:r>
            </w:hyperlink>
          </w:p>
        </w:tc>
        <w:tc>
          <w:tcPr>
            <w:tcW w:w="4780" w:type="dxa"/>
            <w:vAlign w:val="bottom"/>
            <w:gridSpan w:val="7"/>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Condensed Consolidated Financial Statements</w:t>
              </w:r>
            </w:hyperlink>
          </w:p>
        </w:tc>
        <w:tc>
          <w:tcPr>
            <w:tcW w:w="4500" w:type="dxa"/>
            <w:vAlign w:val="bottom"/>
            <w:gridSpan w:val="6"/>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500" w:type="dxa"/>
            <w:vAlign w:val="bottom"/>
            <w:gridSpan w:val="1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Management’s Discussion and Analysis of Financial Condition and Results of Operations</w:t>
              </w:r>
            </w:hyperlink>
          </w:p>
        </w:tc>
        <w:tc>
          <w:tcPr>
            <w:tcW w:w="10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8"/>
                <w:szCs w:val="18"/>
                <w:color w:val="auto"/>
              </w:rPr>
            </w:pPr>
          </w:p>
        </w:tc>
        <w:tc>
          <w:tcPr>
            <w:tcW w:w="2040" w:type="dxa"/>
            <w:vAlign w:val="bottom"/>
            <w:gridSpan w:val="2"/>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Controls and Procedures</w:t>
              </w:r>
            </w:hyperlink>
          </w:p>
        </w:tc>
        <w:tc>
          <w:tcPr>
            <w:tcW w:w="6720" w:type="dxa"/>
            <w:vAlign w:val="bottom"/>
            <w:gridSpan w:val="11"/>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479"/>
        </w:trPr>
        <w:tc>
          <w:tcPr>
            <w:tcW w:w="2780" w:type="dxa"/>
            <w:vAlign w:val="bottom"/>
            <w:tcBorders>
              <w:bottom w:val="single" w:sz="8" w:color="0000FF"/>
            </w:tcBorders>
            <w:gridSpan w:val="5"/>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PART II. OTHER INFORMATION</w:t>
              </w:r>
            </w:hyperlink>
          </w:p>
        </w:tc>
        <w:tc>
          <w:tcPr>
            <w:tcW w:w="7380" w:type="dxa"/>
            <w:vAlign w:val="bottom"/>
            <w:gridSpan w:val="16"/>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8500" w:type="dxa"/>
            <w:vAlign w:val="bottom"/>
            <w:gridSpan w:val="18"/>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Legal Proceedings</w:t>
              </w:r>
            </w:hyperlink>
          </w:p>
        </w:tc>
        <w:tc>
          <w:tcPr>
            <w:tcW w:w="10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Risk Factors</w:t>
              </w:r>
            </w:hyperlink>
          </w:p>
        </w:tc>
        <w:tc>
          <w:tcPr>
            <w:tcW w:w="420" w:type="dxa"/>
            <w:vAlign w:val="bottom"/>
            <w:tcBorders>
              <w:top w:val="single" w:sz="8" w:color="0000FF"/>
            </w:tcBorders>
            <w:gridSpan w:val="3"/>
          </w:tcPr>
          <w:p>
            <w:pPr>
              <w:spacing w:after="0"/>
              <w:rPr>
                <w:sz w:val="18"/>
                <w:szCs w:val="18"/>
                <w:color w:val="auto"/>
              </w:rPr>
            </w:pPr>
          </w:p>
        </w:tc>
        <w:tc>
          <w:tcPr>
            <w:tcW w:w="7160" w:type="dxa"/>
            <w:vAlign w:val="bottom"/>
            <w:gridSpan w:val="14"/>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16">
              <w:r>
                <w:rPr>
                  <w:rFonts w:ascii="Arial" w:cs="Arial" w:eastAsia="Arial" w:hAnsi="Arial"/>
                  <w:sz w:val="18"/>
                  <w:szCs w:val="18"/>
                  <w:color w:val="0000FF"/>
                  <w:w w:val="89"/>
                </w:rPr>
                <w:t>Unregistered Sales of Equity Securities and Use of Proceeds</w:t>
              </w:r>
            </w:hyperlink>
          </w:p>
        </w:tc>
        <w:tc>
          <w:tcPr>
            <w:tcW w:w="4140" w:type="dxa"/>
            <w:vAlign w:val="bottom"/>
            <w:gridSpan w:val="5"/>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116</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8500" w:type="dxa"/>
            <w:vAlign w:val="bottom"/>
            <w:gridSpan w:val="1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Defaults Upon Senior Securities</w:t>
              </w:r>
            </w:hyperlink>
          </w:p>
        </w:tc>
        <w:tc>
          <w:tcPr>
            <w:tcW w:w="10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117</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8"/>
                <w:szCs w:val="18"/>
                <w:color w:val="auto"/>
              </w:rPr>
            </w:pPr>
          </w:p>
        </w:tc>
        <w:tc>
          <w:tcPr>
            <w:tcW w:w="6180" w:type="dxa"/>
            <w:vAlign w:val="bottom"/>
            <w:gridSpan w:val="10"/>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117</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8500" w:type="dxa"/>
            <w:vAlign w:val="bottom"/>
            <w:gridSpan w:val="1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Other Information</w:t>
              </w:r>
            </w:hyperlink>
          </w:p>
        </w:tc>
        <w:tc>
          <w:tcPr>
            <w:tcW w:w="10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8500" w:type="dxa"/>
            <w:vAlign w:val="bottom"/>
            <w:gridSpan w:val="1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Exhibits and Financial Statement Schedule</w:t>
              </w:r>
            </w:hyperlink>
          </w:p>
        </w:tc>
        <w:tc>
          <w:tcPr>
            <w:tcW w:w="10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117</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rFonts w:ascii="Arial" w:cs="Arial" w:eastAsia="Arial" w:hAnsi="Arial"/>
                <w:sz w:val="18"/>
                <w:szCs w:val="18"/>
                <w:color w:val="0000FF"/>
              </w:rPr>
            </w:pPr>
            <w:hyperlink w:anchor="page118">
              <w:r>
                <w:rPr>
                  <w:rFonts w:ascii="Arial" w:cs="Arial" w:eastAsia="Arial" w:hAnsi="Arial"/>
                  <w:sz w:val="18"/>
                  <w:szCs w:val="18"/>
                  <w:color w:val="0000FF"/>
                </w:rPr>
                <w:t>Signatures</w:t>
              </w:r>
            </w:hyperlink>
          </w:p>
        </w:tc>
        <w:tc>
          <w:tcPr>
            <w:tcW w:w="9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0" w:lineRule="exact"/>
        <w:rPr>
          <w:sz w:val="20"/>
          <w:szCs w:val="20"/>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our operating expenses, our ability to determine reserves and our ability to remain profitable;</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 and our expectations that improvements in our AI models can lead to higher approval rates and lower interest rates;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volume of loans facilitated by our AI lending platform;</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a diversified loan funding strategy, including bank partnerships and whole loan sales and securitization transactions;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competitive interest rates offered to borrowers on our platform, while enabling our bank partners to achieve an adequate return over their cost of funding;</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effectiveness of our marketing strategies, including our direct consumer marketing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business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management of future growth, including expanding the number of potential borrowers;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adjust our proprietary AI models, products and services in a timely manner in response to changing macroeconomic conditions and fluctuations in the credit market;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applicable local, state and federal laws;</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and successfully adapt to complex and evolving regulatory environments, including regulation of artificial intelligence and machine learning technology;</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support of our approach to AI-based lending, including our ongoing discussions with the Consumer Financial Protection Bureau, or CFPB;</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against increasingly sophisticated fraudulent borrowing and online theft;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loans and the ability of third-party collection agents, to pursue collection of delinquent and defaulted loans;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44"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new and evolving markets and our ability enter into new markets and introduce new products and services, such as our recent introduction of auto loans;</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secure and maintain the confidentiality of the information received, accessed, stored, provided and used across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obtain and maintain funding and liquidity to support continued growth and general corporate purposes;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and expand the capabilities of our operations teams, outsourcing relationships and other business operations;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outstanding litigation and regulatory investigations;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250,819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257,017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57,189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8"/>
              </w:rPr>
              <w:t>Other assets (includes $6,831 and $8,734 at fair value as of December 31, 2020 and March 31, 2021,</w:t>
            </w: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40,046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56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488,588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 to investors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41,891</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Accrued expenses and other liabilities (includes $9,530 and $12,628 at fair value as of December 31, 2020</w:t>
            </w: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42,869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March 31, 2021,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line="223" w:lineRule="exact"/>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167,998</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Common stock, $0.0001 par value; 700,000,000 shares authorized; 73,314,026 and 73,908,252, shares issued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outstanding as of December 31, 2020 and March 31, 2021, respectively</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379,703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320,590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488,588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340" w:hanging="332"/>
        <w:spacing w:after="0" w:line="214" w:lineRule="auto"/>
        <w:tabs>
          <w:tab w:leader="none" w:pos="335"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2020 and March 31, 2021.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(at fair value)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14,678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21,428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21,499</w:t>
            </w:r>
          </w:p>
        </w:tc>
      </w:tr>
      <w:tr>
        <w:trPr>
          <w:trHeight w:val="21"/>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36"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68,013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116,170</w:t>
            </w:r>
          </w:p>
        </w:tc>
        <w:tc>
          <w:tcPr>
            <w:tcW w:w="0" w:type="dxa"/>
            <w:vAlign w:val="bottom"/>
          </w:tcPr>
          <w:p>
            <w:pPr>
              <w:spacing w:after="0"/>
              <w:rPr>
                <w:sz w:val="1"/>
                <w:szCs w:val="1"/>
                <w:color w:val="auto"/>
              </w:rPr>
            </w:pPr>
          </w:p>
        </w:tc>
      </w:tr>
      <w:tr>
        <w:trPr>
          <w:trHeight w:val="176"/>
        </w:trPr>
        <w:tc>
          <w:tcPr>
            <w:tcW w:w="75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Interest income and fair value adjustments, net (includes $608 from related parties expense and</w:t>
            </w:r>
          </w:p>
        </w:tc>
        <w:tc>
          <w:tcPr>
            <w:tcW w:w="3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$4,335 of related parties fair value adjustments for the three months ended March 31, 2020)</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121,345</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35,952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49,376</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105,771</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(expense) on warrants and other non-operating expenses, net</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income before income taxes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income before attribution to noncontrolling interests</w:t>
            </w:r>
          </w:p>
        </w:tc>
        <w:tc>
          <w:tcPr>
            <w:tcW w:w="3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income attributable to Upstart Holdings, Inc.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income per share attributable to Upstart Holdings, Inc. common stockholders, 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Upstart Holdings, Inc. common stockholders, 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76"/>
        </w:trPr>
        <w:tc>
          <w:tcPr>
            <w:tcW w:w="756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Weighted-average number of shares outstanding used in computing net income per share attributable</w:t>
            </w:r>
          </w:p>
        </w:tc>
        <w:tc>
          <w:tcPr>
            <w:tcW w:w="3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14,625,267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73,629,122</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to Upstart Holdings, Inc. common stockholders, basic</w:t>
            </w:r>
          </w:p>
        </w:tc>
        <w:tc>
          <w:tcPr>
            <w:tcW w:w="3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Weighted-average number of shares outstanding used in computing net income per share attributable</w:t>
            </w:r>
          </w:p>
        </w:tc>
        <w:tc>
          <w:tcPr>
            <w:tcW w:w="3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14,625,267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91,449,571</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Upstart Holdings, Inc. common stockholders, diluted</w:t>
            </w:r>
          </w:p>
        </w:tc>
        <w:tc>
          <w:tcPr>
            <w:tcW w:w="3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100" w:type="dxa"/>
            <w:vAlign w:val="bottom"/>
          </w:tcPr>
          <w:p>
            <w:pPr>
              <w:spacing w:after="0"/>
              <w:rPr>
                <w:sz w:val="24"/>
                <w:szCs w:val="24"/>
                <w:color w:val="auto"/>
              </w:rPr>
            </w:pPr>
          </w:p>
        </w:tc>
        <w:tc>
          <w:tcPr>
            <w:tcW w:w="1720" w:type="dxa"/>
            <w:vAlign w:val="bottom"/>
            <w:tcBorders>
              <w:right w:val="single" w:sz="8" w:color="auto"/>
            </w:tcBorders>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Upstart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720" w:type="dxa"/>
            <w:vAlign w:val="bottom"/>
            <w:tcBorders>
              <w:right w:val="single" w:sz="8" w:color="auto"/>
            </w:tcBorders>
            <w:gridSpan w:val="4"/>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720" w:type="dxa"/>
            <w:vAlign w:val="bottom"/>
            <w:tcBorders>
              <w:right w:val="single" w:sz="8" w:color="auto"/>
            </w:tcBorders>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72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gridSpan w:val="2"/>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20" w:type="dxa"/>
            <w:vAlign w:val="bottom"/>
          </w:tcPr>
          <w:p>
            <w:pPr>
              <w:spacing w:after="0"/>
              <w:rPr>
                <w:sz w:val="9"/>
                <w:szCs w:val="9"/>
                <w:color w:val="auto"/>
              </w:rPr>
            </w:pPr>
          </w:p>
        </w:tc>
        <w:tc>
          <w:tcPr>
            <w:tcW w:w="11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6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gridSpan w:val="2"/>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8"/>
                <w:szCs w:val="18"/>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64"/>
        </w:trPr>
        <w:tc>
          <w:tcPr>
            <w:tcW w:w="210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w w:val="97"/>
              </w:rPr>
              <w:t>Balance as of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162,546</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14,561,398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(75,205)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(62,714)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1,026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92,634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Return of capital to interests in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(381)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47,349,577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162,546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14,654,032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14,729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(73,725)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(58,994)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(58,837)</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100" w:type="dxa"/>
            <w:vAlign w:val="bottom"/>
          </w:tcPr>
          <w:p>
            <w:pPr>
              <w:spacing w:after="0"/>
              <w:rPr>
                <w:sz w:val="24"/>
                <w:szCs w:val="24"/>
                <w:color w:val="auto"/>
              </w:rPr>
            </w:pPr>
          </w:p>
        </w:tc>
        <w:tc>
          <w:tcPr>
            <w:tcW w:w="140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Convertible</w:t>
            </w:r>
          </w:p>
        </w:tc>
        <w:tc>
          <w:tcPr>
            <w:tcW w:w="3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10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00" w:type="dxa"/>
            <w:vAlign w:val="bottom"/>
          </w:tcPr>
          <w:p>
            <w:pPr>
              <w:spacing w:after="0"/>
              <w:rPr>
                <w:sz w:val="9"/>
                <w:szCs w:val="9"/>
                <w:color w:val="auto"/>
              </w:rPr>
            </w:pPr>
          </w:p>
        </w:tc>
        <w:tc>
          <w:tcPr>
            <w:tcW w:w="118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as of December 31, 2020</w:t>
            </w: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73,314,026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369,467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521,511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1,492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restricted stock units</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Exercise of common stock</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72,407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8,744</w:t>
            </w:r>
          </w:p>
        </w:tc>
        <w:tc>
          <w:tcPr>
            <w:tcW w:w="0" w:type="dxa"/>
            <w:vAlign w:val="bottom"/>
          </w:tcPr>
          <w:p>
            <w:pPr>
              <w:spacing w:after="0"/>
              <w:rPr>
                <w:sz w:val="1"/>
                <w:szCs w:val="1"/>
                <w:color w:val="auto"/>
              </w:rPr>
            </w:pPr>
          </w:p>
        </w:tc>
      </w:tr>
      <w:tr>
        <w:trPr>
          <w:trHeight w:val="186"/>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10,102</w:t>
            </w:r>
          </w:p>
        </w:tc>
        <w:tc>
          <w:tcPr>
            <w:tcW w:w="0" w:type="dxa"/>
            <w:vAlign w:val="bottom"/>
          </w:tcPr>
          <w:p>
            <w:pPr>
              <w:spacing w:after="0"/>
              <w:rPr>
                <w:sz w:val="1"/>
                <w:szCs w:val="1"/>
                <w:color w:val="auto"/>
              </w:rPr>
            </w:pPr>
          </w:p>
        </w:tc>
      </w:tr>
      <w:tr>
        <w:trPr>
          <w:trHeight w:val="20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73,908,252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379,703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(59,120)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320,590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320,590</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Net income before attribution to noncontrolling interests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40"/>
              <w:spacing w:after="0" w:line="176" w:lineRule="exact"/>
              <w:rPr>
                <w:sz w:val="20"/>
                <w:szCs w:val="20"/>
                <w:color w:val="auto"/>
              </w:rPr>
            </w:pPr>
            <w:r>
              <w:rPr>
                <w:rFonts w:ascii="Arial" w:cs="Arial" w:eastAsia="Arial" w:hAnsi="Arial"/>
                <w:sz w:val="18"/>
                <w:szCs w:val="18"/>
                <w:color w:val="auto"/>
                <w:w w:val="98"/>
              </w:rPr>
              <w:t>Change in fair value of financial instruments (includes $(4,335) to related parties for the three</w:t>
            </w:r>
          </w:p>
        </w:tc>
        <w:tc>
          <w:tcPr>
            <w:tcW w:w="3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months ended March 31, 2020)</w:t>
            </w:r>
          </w:p>
        </w:tc>
        <w:tc>
          <w:tcPr>
            <w:tcW w:w="3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Gain (loss) on loan servicing arrangements and sale of noncontrolling interests, net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Noncash interest expense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changes in operating assets and liabilities: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Purchase of loans for immediate resale to investors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(848,540)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(1,294,634)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immediate resale of loans to investors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1,294,634</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Purchase of loans held-for-sale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(97,924)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(18,240)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received for loans held-for-sale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Net proceeds from sale of loans held-for-sale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38,140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Operating lease liability and right-of-use asset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Payable to investors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(used in) provided by operating activities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43,092</w:t>
            </w:r>
          </w:p>
        </w:tc>
        <w:tc>
          <w:tcPr>
            <w:tcW w:w="0" w:type="dxa"/>
            <w:vAlign w:val="bottom"/>
          </w:tcPr>
          <w:p>
            <w:pPr>
              <w:spacing w:after="0"/>
              <w:rPr>
                <w:sz w:val="1"/>
                <w:szCs w:val="1"/>
                <w:color w:val="auto"/>
              </w:rPr>
            </w:pPr>
          </w:p>
        </w:tc>
      </w:tr>
      <w:tr>
        <w:trPr>
          <w:trHeight w:val="250"/>
        </w:trPr>
        <w:tc>
          <w:tcPr>
            <w:tcW w:w="7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received for loans held by consolidated securitizations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color w:val="auto"/>
              </w:rPr>
              <w:t>Net proceeds from sale of loans held-for-investment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received for loans held-for-investment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color w:val="auto"/>
              </w:rPr>
              <w:t>Principal payments received for notes receivable and repayments of residual certificates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loans held-for-investment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color w:val="auto"/>
              </w:rPr>
              <w:t>Purchase of notes receivable and residual certificates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Capitalized software costs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50"/>
        </w:trPr>
        <w:tc>
          <w:tcPr>
            <w:tcW w:w="7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240"/>
              <w:spacing w:after="0" w:line="176" w:lineRule="exact"/>
              <w:rPr>
                <w:sz w:val="20"/>
                <w:szCs w:val="20"/>
                <w:color w:val="auto"/>
              </w:rPr>
            </w:pPr>
            <w:r>
              <w:rPr>
                <w:rFonts w:ascii="Arial" w:cs="Arial" w:eastAsia="Arial" w:hAnsi="Arial"/>
                <w:sz w:val="18"/>
                <w:szCs w:val="18"/>
                <w:color w:val="auto"/>
                <w:w w:val="91"/>
              </w:rPr>
              <w:t>Payments made on securitization notes and certificates (includes $633 paid to related parties for the</w:t>
            </w:r>
          </w:p>
        </w:tc>
        <w:tc>
          <w:tcPr>
            <w:tcW w:w="3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color w:val="auto"/>
              </w:rPr>
              <w:t>three months ended March 31, 2020)</w:t>
            </w:r>
          </w:p>
        </w:tc>
        <w:tc>
          <w:tcPr>
            <w:tcW w:w="3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borrowings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(26,584)</w:t>
            </w:r>
          </w:p>
        </w:tc>
        <w:tc>
          <w:tcPr>
            <w:tcW w:w="0" w:type="dxa"/>
            <w:vAlign w:val="bottom"/>
          </w:tcPr>
          <w:p>
            <w:pPr>
              <w:spacing w:after="0"/>
              <w:rPr>
                <w:sz w:val="1"/>
                <w:szCs w:val="1"/>
                <w:color w:val="auto"/>
              </w:rPr>
            </w:pP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Distributions made to noncontrolling interests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borrowings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24"/>
        </w:trPr>
        <w:tc>
          <w:tcPr>
            <w:tcW w:w="7520" w:type="dxa"/>
            <w:vAlign w:val="bottom"/>
          </w:tcPr>
          <w:p>
            <w:pPr>
              <w:ind w:left="460"/>
              <w:spacing w:after="0"/>
              <w:rPr>
                <w:sz w:val="20"/>
                <w:szCs w:val="20"/>
                <w:color w:val="auto"/>
              </w:rPr>
            </w:pPr>
            <w:r>
              <w:rPr>
                <w:rFonts w:ascii="Arial" w:cs="Arial" w:eastAsia="Arial" w:hAnsi="Arial"/>
                <w:sz w:val="18"/>
                <w:szCs w:val="18"/>
                <w:color w:val="auto"/>
              </w:rPr>
              <w:t>Net increase (decrease) in cash and restricted cash</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5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restricted cash</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80,067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311,333</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72,178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336,066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0"/>
        </w:trPr>
        <w:tc>
          <w:tcPr>
            <w:tcW w:w="75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bl>
    <w:p>
      <w:pPr>
        <w:spacing w:after="0" w:line="200" w:lineRule="exact"/>
        <w:rPr>
          <w:sz w:val="20"/>
          <w:szCs w:val="20"/>
          <w:color w:val="auto"/>
        </w:rPr>
      </w:pPr>
    </w:p>
    <w:p>
      <w:pPr>
        <w:sectPr>
          <w:pgSz w:w="11900" w:h="16838" w:orient="portrait"/>
          <w:cols w:equalWidth="0" w:num="1">
            <w:col w:w="11240"/>
          </w:cols>
          <w:pgMar w:left="320" w:top="179" w:right="339" w:bottom="7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79" w:right="339" w:bottom="750" w:gutter="0" w:footer="0" w:header="0"/>
          <w:type w:val="continuous"/>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Upstart Holdings, Inc. and its subsidiaries (together “Upstart,” or the “Company”)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and Columbus, Ohio. The Company’s fiscal year ends on December 31.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on the same basis as the annual consolidated financial statements included in our Annual Report on Form 10-K and in the opinion of management, reflect all adjustments, which include only normal recurring adjustments, necessary to state fairly the Company’s financial position, results of operations, comprehensive income and cash flows for the periods presented, but are not necessarily indicative of the results of operations to be anticipated of any future annual or interim periods.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issues stock options and restricted stock units (“RSUs”)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are measured at the fair market value of our common stock at the grant date.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expenses are recognized based on their respective grant-date fair values. Forfeitures are estimated at the time of grant and revised, as necessary, in subsequent periods if actual forfeitures differ from initial estimates. Stock-based compensation expense is recorded net of estimated forfeitures, such that the expense is recorded only for those stock options that are expected to vest.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three months ended March 31, 2020, other income (expense) primarily consists of dividend income earned by the Company on its unrestricted cash balance which is recognized in the period earned.</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determined that forgiveness of the loan under the CARES Act was reasonably assured and recorded the full amount of proceeds as other income in the condensed consolidated statement of operations comprehensive income in 2020. In March 2021, the Company voluntarily repaid proceeds received under the Paycheck Protection Program plus accrued interest totaling $5.3 million. The Company recognized the loan principal repayment as an other expense.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adopted the following accounting standards during the three months ended March 31, 2021:</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which requires a customer in a hosting arrangement that is a service contract to follow the internal-use software guidance in</w:t>
      </w:r>
      <w:r>
        <w:rPr>
          <w:rFonts w:ascii="Arial" w:cs="Arial" w:eastAsia="Arial" w:hAnsi="Arial"/>
          <w:sz w:val="16"/>
          <w:szCs w:val="16"/>
          <w:i w:val="1"/>
          <w:iCs w:val="1"/>
          <w:color w:val="auto"/>
        </w:rPr>
        <w:t xml:space="preserve"> </w:t>
      </w:r>
      <w:r>
        <w:rPr>
          <w:rFonts w:ascii="Arial" w:cs="Arial" w:eastAsia="Arial" w:hAnsi="Arial"/>
          <w:sz w:val="16"/>
          <w:szCs w:val="16"/>
          <w:color w:val="auto"/>
        </w:rPr>
        <w:t>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guidance became effective on January 1, 2021 and the Company adopted the standard on a prospective basis. The adoption of the standard did not have a material impact on the Company’s financial statements or related disclosures.</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 required under current U.S. GAAP. The standard removes certain settlement conditions that are required for equity contracts to qualify for the derivative scope exception and also simplifies the diluted earnings per share calculation in certain areas The amendments in this update are effective for public business entities for fiscal years beginning after December 15, 2021, and interim periods within those fiscal years. The amendment is to be adopted through either a fully retrospective or modified retrospective method of transition. Early adoption is permitted. The Company early adopted ASU 2020-06 on January 1, 2021 with no material impact on the Company’s financial statements or related disclosures.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amended guidance related to impairment of financial instruments as part of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which will be effective January 1, 2023 for emerging growth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which is outside the scope of Topic 326. For available for sale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condensed consolidated balance sheets, condensed consolidated statements of operations and comprehensive income, condensed consolidated statements of cash flows and related disclosures. The Company plans to adopt Topic 326 effective as of January 1, 2023.</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followed by and ASU 2021-01,</w:t>
      </w:r>
      <w:r>
        <w:rPr>
          <w:rFonts w:ascii="Arial" w:cs="Arial" w:eastAsia="Arial" w:hAnsi="Arial"/>
          <w:sz w:val="17"/>
          <w:szCs w:val="17"/>
          <w:i w:val="1"/>
          <w:iCs w:val="1"/>
          <w:color w:val="auto"/>
        </w:rPr>
        <w:t xml:space="preserve"> Reference Rate Reform, Scop</w:t>
      </w:r>
      <w:r>
        <w:rPr>
          <w:rFonts w:ascii="Arial" w:cs="Arial" w:eastAsia="Arial" w:hAnsi="Arial"/>
          <w:sz w:val="17"/>
          <w:szCs w:val="17"/>
          <w:color w:val="auto"/>
        </w:rPr>
        <w:t>e issued in January 2021. ASU 2020-04 and ASU 2021-01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optional expedients and exceptions for applying U.S. GAAP to contracts, hedging relationships, and other transactions that reference the London Interbank Offered Rate or another reference rate expected to be discontinued because of reference rate reform, if certain criteria are met. The guidance in ASU 2020-04 and ASU 2021-01 was effective upon issuance and, once adopted, may be applied prospectively to contract modifications and hedging relationships through December 31, 2022. The Company is currently evaluating the impact of the adoption of ASU 2020-04 and ASU 2021-01 on its condensed consolidated financial statements and related disclosures.</w:t>
      </w:r>
    </w:p>
    <w:p>
      <w:pPr>
        <w:spacing w:after="0" w:line="200" w:lineRule="exact"/>
        <w:rPr>
          <w:sz w:val="20"/>
          <w:szCs w:val="20"/>
          <w:color w:val="auto"/>
        </w:rPr>
      </w:pPr>
    </w:p>
    <w:p>
      <w:pPr>
        <w:spacing w:after="0" w:line="21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disaggregates revenue from fees by type of service for the periods presented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Platform and referral fees, net</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60,230</w:t>
            </w:r>
          </w:p>
        </w:tc>
        <w:tc>
          <w:tcPr>
            <w:tcW w:w="100" w:type="dxa"/>
            <w:vAlign w:val="bottom"/>
          </w:tcPr>
          <w:p>
            <w:pPr>
              <w:spacing w:after="0"/>
              <w:rPr>
                <w:sz w:val="19"/>
                <w:szCs w:val="19"/>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106,953</w:t>
            </w: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 net</w:t>
            </w:r>
          </w:p>
        </w:tc>
        <w:tc>
          <w:tcPr>
            <w:tcW w:w="1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revenue from fees, net</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116,170</w:t>
            </w:r>
          </w:p>
        </w:tc>
      </w:tr>
      <w:tr>
        <w:trPr>
          <w:trHeight w:val="20"/>
        </w:trPr>
        <w:tc>
          <w:tcPr>
            <w:tcW w:w="7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enters into contracts with bank partners to provide access to a cloud-based artificial intelligence lending platform developed by the Company (the “Upstart platform”) to enable banks to originate unsecured personal and auto refinance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origination, Upstart-powered loans are either retained by bank partners, purchased by the Company for immediate resale to institutional investors under loan sale agreements, or purchased and held by the Company. For loans purchased by the Company, Upstart pays bank partners a one-time loan premium fee upon completion of the minimum holding periods. Upstart also pays bank partners monthly loan trailing fees based on the amount and timing of principal and interest payments made by borrowers of the underlying loans. The monthly loan trailing fees are paid based on the amount and timing of principal and interest payments made by borrowers of the underlying loans. Both the loan premium fees and loan trailing fees are consideration payable to customers and are recorded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reduction to platform and referral fees, net, which is part of revenue from fees, net, in the condensed consolidated statements of operations and comprehensive income for the periods presented. The Company recognized $2.4 million and $3.6 million of loan premium fees and loan trailing fees as contra-revenue within platform and referral fees, net for the three months ended March 31, 2020 and 2021, respectively.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started paying loan trailing fees on January 1, 2019. As of December 31, 2020 and March 31, 2021, the Company recorded $1.3 million and $1.8 million of loan trailing fee liability, respectively, which is recorded at fair value and included within accrued expenses other liabilities on the Company’s condensed consolidated balance sheets.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 on changes in fair value associated with trailing fee liabilities.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usage fees. The tier-based pricing, when offered, resets on a monthly basis and does not accumulate. Given that the nature of the Company’s promise is to stand 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did not recognize revenue from performance obligations related to prior periods for the three months ended March 31, 2020 and 2021. The Company had no material contract assets, contract liabilities, or deferred contract costs recorded as of December 31, 2020 and March 31, 2021. The Company had $8.1 million and $11.7 million of accounts receivable that are included in other assets on the condensed consolidated balance sheets related to contracts with customers as of December 31, 2020 and March 31, 2021, respectively. The Company’s allowance for bad debt was immaterial as of December 31, 2020 and March 31, 2021, and the Company’s bad debt expense was immaterial for the periods presented.</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capitalizes incremental costs of obtaining a contract with a customer, which are certain sales commissions paid to acquire bank partners. Capitalized costs are amortized over the expected period of benefit, which we have determined, based on an analysis, to be 3 years. The Company applies the practical expedient to expense costs to obtain contracts with customers if the amortization period is one year or less. As of March 31, 2021, the Company had an immaterial amount of contract costs capitalized within other assets on the condensed consolidated balance sheets. For the three months ended March 31, 2021, the Company amortized an immaterial amount of capitalized contracts costs to sales and marketing in the condensed consolidated statements of operations and comprehensive income.</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2020, the Company had one customer which accounted for 79% of the Company’s total revenue and two customers which accounted for 60% and 25% for the three months ended March 31, 2021. Two customers accounted for 34% and 15% of accounts receivable as of December 31, 2020 and 39% and 21% as of March 31, 2021.</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Servicing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Topic 606 and are accounted for under Topic 860, Transfers and servicing of financial assets.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Servicing fees also include changes in fair value of loan servicing assets and liabilities in the periods presented.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 on changes in fair value associated with servicing assets and liabilities.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gains and losses related to loan servicing rights upon loan sales for the periods presented as follows:</w:t>
      </w:r>
    </w:p>
    <w:p>
      <w:pPr>
        <w:spacing w:after="0" w:line="46"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17145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7960"/>
        <w:spacing w:after="0"/>
        <w:tabs>
          <w:tab w:leader="none" w:pos="100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140" w:val="left"/>
          <w:tab w:leader="none" w:pos="8660" w:val="left"/>
          <w:tab w:leader="none" w:pos="9240" w:val="left"/>
          <w:tab w:leader="none" w:pos="10900" w:val="left"/>
        </w:tabs>
        <w:rPr>
          <w:sz w:val="20"/>
          <w:szCs w:val="20"/>
          <w:color w:val="auto"/>
        </w:rPr>
      </w:pPr>
      <w:r>
        <w:rPr>
          <w:rFonts w:ascii="Arial" w:cs="Arial" w:eastAsia="Arial" w:hAnsi="Arial"/>
          <w:sz w:val="18"/>
          <w:szCs w:val="18"/>
          <w:color w:val="auto"/>
        </w:rPr>
        <w:t>Net gain (loss) related to loan servicing rights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1,459</w:t>
        <w:tab/>
        <w:t>$</w:t>
      </w:r>
      <w:r>
        <w:rPr>
          <w:sz w:val="20"/>
          <w:szCs w:val="20"/>
          <w:color w:val="auto"/>
        </w:rPr>
        <w:tab/>
      </w:r>
      <w:r>
        <w:rPr>
          <w:rFonts w:ascii="Arial" w:cs="Arial" w:eastAsia="Arial" w:hAnsi="Arial"/>
          <w:sz w:val="16"/>
          <w:szCs w:val="16"/>
          <w:color w:val="auto"/>
        </w:rPr>
        <w:t>(67)</w:t>
      </w:r>
    </w:p>
    <w:p>
      <w:pPr>
        <w:spacing w:after="0" w:line="3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fees, net as part of revenue from fees, net in the Company’s condensed consolidated statements of operations and comprehensive income. The total fees charged by collection agencies are also recognized in the period incurred and reported as part of customer operations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fees, net for the periods presented as follows:</w:t>
      </w:r>
    </w:p>
    <w:p>
      <w:pPr>
        <w:spacing w:after="0" w:line="69"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17145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7960"/>
        <w:spacing w:after="0"/>
        <w:tabs>
          <w:tab w:leader="none" w:pos="100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 agency fees</w:t>
            </w: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Borrower fees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886</w:t>
            </w:r>
          </w:p>
        </w:tc>
      </w:tr>
    </w:tbl>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components of the interest income and fair value adjustments, net presented in the Company’s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r>
      <w:tr>
        <w:trPr>
          <w:trHeight w:val="237"/>
        </w:trPr>
        <w:tc>
          <w:tcPr>
            <w:tcW w:w="71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Interest income and fair value adjustments, net</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88"/>
              </w:rPr>
              <w:t>9,183</w:t>
            </w:r>
          </w:p>
        </w:tc>
        <w:tc>
          <w:tcPr>
            <w:tcW w:w="100" w:type="dxa"/>
            <w:vAlign w:val="bottom"/>
          </w:tcPr>
          <w:p>
            <w:pPr>
              <w:spacing w:after="0"/>
              <w:rPr>
                <w:sz w:val="19"/>
                <w:szCs w:val="19"/>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30"/>
              <w:spacing w:after="0"/>
              <w:rPr>
                <w:sz w:val="20"/>
                <w:szCs w:val="20"/>
                <w:color w:val="auto"/>
              </w:rPr>
            </w:pPr>
            <w:r>
              <w:rPr>
                <w:rFonts w:ascii="Arial" w:cs="Arial" w:eastAsia="Arial" w:hAnsi="Arial"/>
                <w:sz w:val="18"/>
                <w:szCs w:val="18"/>
                <w:color w:val="auto"/>
                <w:w w:val="88"/>
              </w:rPr>
              <w:t>3,405</w:t>
            </w: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(3,255)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(1,030)</w:t>
            </w:r>
          </w:p>
        </w:tc>
      </w:tr>
      <w:tr>
        <w:trPr>
          <w:trHeight w:val="230"/>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(9,947)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2,800</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5,175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interest income, interest expense and fair value adjustments, net related to consolidated securitization trusts for the three months ended March 31, 2020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2020</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fair value adjustments, net related to consolidated securitization trusts:</w:t>
            </w:r>
          </w:p>
        </w:tc>
        <w:tc>
          <w:tcPr>
            <w:tcW w:w="3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200" w:type="dxa"/>
            <w:vAlign w:val="bottom"/>
          </w:tcPr>
          <w:p>
            <w:pPr>
              <w:jc w:val="right"/>
              <w:spacing w:after="0"/>
              <w:rPr>
                <w:sz w:val="20"/>
                <w:szCs w:val="20"/>
                <w:color w:val="auto"/>
              </w:rPr>
            </w:pPr>
            <w:r>
              <w:rPr>
                <w:rFonts w:ascii="Arial" w:cs="Arial" w:eastAsia="Arial" w:hAnsi="Arial"/>
                <w:sz w:val="18"/>
                <w:szCs w:val="18"/>
                <w:color w:val="auto"/>
              </w:rPr>
              <w:t>3,379</w:t>
            </w: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is recognized based on the terms of the underlying agreements with borrowers for loans held on the Company’s condensed consolidated balance sheets and is earned over the life of a lioan.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2020 and March 31, 2021, the Company has recorded $0.9 million and $0.7 million of accrued interest income in loans on the condensed consolidated balance sheets,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is primarily related to interest recorded on the Company’s borrowings and the notes issued as part of the consolidated securitizations. Interest expense includes accrued interest incurred but not paid. Accrued interest expenses were immaterial as of December 31, 2020 and March 31,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and other adjustments, net</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earnings and include both realized and unrealized changes to the value of related assets and liabilities. Refer to “</w:t>
      </w:r>
      <w:r>
        <w:rPr>
          <w:rFonts w:ascii="Arial" w:cs="Arial" w:eastAsia="Arial" w:hAnsi="Arial"/>
          <w:sz w:val="16"/>
          <w:szCs w:val="16"/>
          <w:i w:val="1"/>
          <w:iCs w:val="1"/>
          <w:color w:val="auto"/>
        </w:rPr>
        <w:t>Note 4. Fair Value Measurement</w:t>
      </w:r>
      <w:r>
        <w:rPr>
          <w:rFonts w:ascii="Arial" w:cs="Arial" w:eastAsia="Arial" w:hAnsi="Arial"/>
          <w:sz w:val="16"/>
          <w:szCs w:val="16"/>
          <w:color w:val="auto"/>
        </w:rPr>
        <w:t>” for additional information.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and other adjustments, net also include income attributable to third-party residual certificate holders for the consolidated securitization and amounts received from borrowers for previously charged-off loans held on the Company’s condensed consolidated balance sheets. These amounts are recognized in the period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Securitizations and Variable Interest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Warehouse Entities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established Upstart Loan Trust to enter into warehouse credit facilities for the purpose of purchasing Upstart-powered loans. See “</w:t>
      </w:r>
      <w:r>
        <w:rPr>
          <w:rFonts w:ascii="Arial" w:cs="Arial" w:eastAsia="Arial" w:hAnsi="Arial"/>
          <w:sz w:val="18"/>
          <w:szCs w:val="18"/>
          <w:i w:val="1"/>
          <w:iCs w:val="1"/>
          <w:color w:val="auto"/>
        </w:rPr>
        <w:t>Note 7. Borrowings”</w:t>
      </w:r>
      <w:r>
        <w:rPr>
          <w:rFonts w:ascii="Arial" w:cs="Arial" w:eastAsia="Arial" w:hAnsi="Arial"/>
          <w:sz w:val="18"/>
          <w:szCs w:val="18"/>
          <w:color w:val="auto"/>
        </w:rPr>
        <w:t xml:space="preserve"> for additional information. The entity is a Delaware statutory trust that is structured to be bankruptcy-remote, with third-party banks operating as trustees.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Consolidated Securitizations and MOAs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entered into a private offering securitization transactions in April 2018 (“2018-1”). As the sponsor of the securitization transaction, the Company created legal entities for the roles of depositors, issuers, grantor trusts, and MOAs.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risk retention requirements in Title 17 U.S. Code of Federal Regulations Part 246, Credit Risk Retention, promulgated by Securities and Exchange Commission (“RR”), the Company is required to retain at least 5% of the economic risk in securitization transactions in which the Company is the retaining sponsor. The Company elected to satisfy the RR requirements by holding Eligible Horizontal Retained Interests (“EHRIs”) in the form of subordinated certificates within the established MOA.</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Concurrently with the closing of the 2018-1 securitization transaction, while maintaining its status as the primary beneficiary of the related MOA, the Company sold 80% of its interests in the MOA to an institutional investor in exchange for cash of approximately $8.0 million based on the fair value of the residual certificates held in the MOA as determined on the pricing date. As a result of the sale, the Company maintained a 20% interest in the MOA and its status as the managing member, while the investor became a non-voting limited member. As of December 31, 2020, no noncontrolling interests were recognized due to deconsolidation of the 2018-1 securitization during 2020.</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Upon closing of the securitization transaction, the Company determined that the servicing fees represented a variable interest in the securitization entities due to the EHRIs held by the Company’s MOA to satisfy the RR requirements. The EHRIs held by the MOA were deemed to potentially absorb more than an insignificant amount of the VIEs’ expected losses or expected returns at the inception of the securitization transaction. The Company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it was the primary beneficiary of the entities and consolidated the MOA and trusts associated with the 2018-1 securitization transaction.</w:t>
      </w:r>
    </w:p>
    <w:p>
      <w:pPr>
        <w:spacing w:after="0" w:line="2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Subsequent to the expiration of the RR requirements for 2018-1 in June 2020, the residual certificates held by the MOA was distributed based on the proportional equity held by Upstart and the investor. This distribution required the Company to reassess whether its servicing fee is a variable interest. Although the Company maintains a reduced level of variable interests in the 2018-1 securitization transaction through the EHRIs, the Company’s other interests subsequent to these distributions are no longer expected to absorb more than an insignificant amount of the VIE’s expected losses or expected returns. Therefore, the Company concluded that the fees for servicing the securitization transaction are no longer considered variable interests, and as such the powers the Company possesses through the servicing arrangement is no longer considered in the primary beneficiary determination. As a result, the Company concluded it was no longer the primary beneficiary of the 2018-1 securitization transaction. The Company deconsolidated the legal entities associated with the 2018-1 securitization as of June 30, 2020. The Company recorded an immaterial net gain on the deconsolidation of the entities. The Company maintained its role as servicer of these securitization transactions.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sponsored three additional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2020 and 2019. The Company determined that it is not the primary beneficiary of the trusts which hold the loans associated with these securitization transactions, primarily because the Company’s servicing fees are not considered variable interests, and that the transfer of loans as collateral into these securitization transactions met the definition of a sale under Topic 860, Transferring and Servicing. As such, the Company derecognized these loans from the condensed consolidated balance sheets upon the closing of these securitization transactions. Refer to the Unconsolidated Securitizations section below for more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Consolidated VIEs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Loan Trust 2, a Delaware statutory trust, holds personal loans facilitated through the Upstart platform that do not meet the criteria for inclusion in the warehouse credit facilities, or that were the result of the Company’s repurchases of loans for breaches of representations and warranties made to institutional investors, as described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Net Assets</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35,109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36,421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16,243</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Net Assets</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47,329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16,394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30,935</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Other Consolidated VIEs</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24,716</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86,723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 The Company’s transactions with unconsolidated VIEs include securitizations of unsecured personal whole loans and sales of whole loans to VIEs. The Company has various forms of involvement with VIEs, including servicing of loans and holding senior or residual interests in the VIEs.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Unconsolidated Securitizations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the Company’s unconsolidated VIEs include entities established as the issuers and grantor trusts for the 2017-1, 2017-2, 2018-1, 2018-2, 2019-1, and 2019-2 securitization transactions (the “Unconsolidated Securitizations”). The Company’s continued involvement in the unconsolidated VIEs is in the form of its role as the sponsor and the servicer of these transactions. For each of the unconsolidated securitizations, the Company determined that it is not the primary beneficiary.</w:t>
      </w:r>
    </w:p>
    <w:p>
      <w:pPr>
        <w:spacing w:after="0" w:line="21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Upstart Network Trust</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Upstart Network Trust (“UNT”), also a Delaware statutory trust, was established in 2014 to facilitate Upstart’s fractional loan program. The Company is the servicer of UNT’s loan assets and previously concluded that the servicing fee represents a variable interest and that the Company is the primary beneficiary of UNT. The program was formally discontinued in 2019 and as a result of a reduction in the Company’s investment in UNT, the Company concluded that it was no longer the primary beneficiary and therefore deconsolidated UNT during 2019. The fair value of the Company’s investment in UNT is included in notes receivable and residual certificates in the condensed consolidated balance sheets as of December 31, 2020 and March 31, 2021. The Company’s continued involvement in UNT includes loan servicing rights and obligations for which it receives servicing fees over the life of the underlying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summarize the aggregate carrying value of assets and liabilities of unconsolidated VIEs in which the Company holds a variable interest but is not the primary beneficiary: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Maximum Exposure</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484,604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390,252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94,352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24,434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Upstart Network Trust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524,358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430,006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94,352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Maximum Exposure</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407,667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315,994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91,673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Upstart Network Trust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439,094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91,673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23,248</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assets that relate to variable interests in unconsolidated VIEs consists of $18.9 million and $16.0 million which are included in notes receivable and residual certificates on the condensed consolidated balance sheets as of December 31, 2020 and March 31, 2021, respectively. The Company also had $7.2 million of cash deposits made to reserve accounts for related securitizations, included in other assets on the condensed consolidated balance sheets as of December 31, 2020 and March 31, 2021.</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Retained Interest in Unconsolidated VIEs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Loans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2019, February 2020, October 2020, and February 2021, the Company co-sponsored securitization transactions (“2019-3”, “2020-1”, “2020-3”, “2021-1”, respectively) with an investment bank.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was not required to retain economic risk in these securitization transactions as the co-sponsor investment bank acted as the retaining sponsor. Similar to 2018-2, 2019-1, and 2019-2, the Company contributed certain loans to this securitization as collateral and recognized this transfer under Topic 860, Transferring and Servicing. The Company is also the servicer of these securitization transactions.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September 2020, the Company co-sponsored an additional securitization transaction (“2020-2”) with an investment bank. The Company did not retain economic risk in this transaction and did not contribute any loans as collateral. The Company is the servicer of this securitization.</w:t>
      </w:r>
    </w:p>
    <w:p>
      <w:pPr>
        <w:spacing w:after="0" w:line="38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assets and liabilities measured at fair value and categorized as Level 3 in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78,460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57,189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servicing assets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Trailing fee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are categorized in the fair value hierarchy based on the significance of unobservable factors in the overall fair value measurement. Since the Company’s loans, notes receivable and residual certificates, other assets, loan servicing assets and liabilities, and trailing fee liabilities do not trade in an active market with readily observable prices, the Company uses significant unobservable inputs to measure the fair value of these assets and liabilities.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Level 2 or Level 3 of the fair value hierarchy during the periods presented.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Loans included in the Company’s condensed consolidated balance sheets are classified as either held-for-sale or held-for-investment. The Company reclassified loans held by the warehouse entities from held-for-investment to held-for-sale as of January 1, 2020, due to the Company’s intent to sell the loans prior to maturity and increasing evidence of their marketability. Other loans held on the Company’s condensed consolidated balance sheets retained their classification as held-for-investment. These loans include loans which do not satisfy the warehouse requirements and loans held in the consolidated securitizations.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fair value of classes of loans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28,794</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Loans held-for-investment</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28,395</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2020 and March 31, 2021.</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months ended March 31, 2020 and 2021, the Company elected the measurement alternative under Topic 810, Consolidation, and maximizes the use of observable inputs to estimate the fair value of the financial assets and liabilities of consolidated securitization entities. Under the measurement alternative, the Company measures the financial assets, which consist of held-for-investment and held-for-sale loans in the condensed consolidated balance sheets, and financial liabilities, which consist of securitization notes and residual certificates issued to institutional investors, included in payable to securitization note holders and residual certificate holders in the condensed consolidated balance sheets, using the more observable of the fair value of the financial assets and liabilities. The Company determined the fair value of the amounts payable to securitization note holders and residual certificate holders is more observable than that of the loans. The securitization notes and residual certificates are measured at fair value, and the loans are measured based on the sum of the fair value of the securitization notes and residual certificates, with changes in fair value included in the condensed consolidated statements of operations and comprehensive income.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loans held-for-investment and held-for-sale: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March 31, 2021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5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60" w:type="dxa"/>
            <w:vAlign w:val="bottom"/>
          </w:tcPr>
          <w:p>
            <w:pPr>
              <w:jc w:val="right"/>
              <w:ind w:right="57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0.36 %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0.21 %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52.31 %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23.09 %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13" w:lineRule="exact"/>
        <w:rPr>
          <w:rFonts w:ascii="Arial" w:cs="Arial" w:eastAsia="Arial" w:hAnsi="Arial"/>
          <w:sz w:val="14"/>
          <w:szCs w:val="14"/>
          <w:color w:val="auto"/>
        </w:rPr>
      </w:pPr>
    </w:p>
    <w:p>
      <w:pPr>
        <w:ind w:left="1300" w:hanging="644"/>
        <w:spacing w:after="0"/>
        <w:tabs>
          <w:tab w:leader="none" w:pos="1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rates of return used to discount future expected cash flows to arrive at a present value,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Credit risk rates</w:t>
      </w:r>
      <w:r>
        <w:rPr>
          <w:rFonts w:ascii="Arial" w:cs="Arial" w:eastAsia="Arial" w:hAnsi="Arial"/>
          <w:sz w:val="18"/>
          <w:szCs w:val="18"/>
          <w:color w:val="auto"/>
        </w:rPr>
        <w:t>–The credit risk rates are an estimate of the net cumulative principal payments that will not be repaid over the entire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 The credit risk rates are expressed as a percentage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original principal amount of the instrument. The estimated net cumulative loss represents the sum of the net losses estimated to occur each month of the life of the instrument, net of the average recovery expected to be received.</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an estimate of the cumulative principal prepayments that will occur over the entire life of a loan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original principal amount of the loan. The assumption regarding cumulative prepayments impact the projected balances and expected terms of the loans.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inputs are similarly used in estimating fair value of related financial instruments. Refer to the Assets and Liabilities related to Securitization Transactions section below for more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below table presents the sensitivity of the loans held-for-sale and held-for-investment to adverse changes in key assumptions used in the valuation model as of December 31, 2020 and March 31, 2021, respectively. The estimated fair value of these loans is not sensitive to adverse changes in expected prepayment rates as such changes would not result in a significant impact on the fair value in either periods.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57,189</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200 basis point increase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29"/>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the loans classified within Level 3 of the fair value hierarchy: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Loans Held-for-</w:t>
            </w:r>
          </w:p>
        </w:tc>
        <w:tc>
          <w:tcPr>
            <w:tcW w:w="180" w:type="dxa"/>
            <w:vAlign w:val="bottom"/>
          </w:tcPr>
          <w:p>
            <w:pPr>
              <w:spacing w:after="0"/>
              <w:rPr>
                <w:sz w:val="18"/>
                <w:szCs w:val="18"/>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20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w:t>
            </w:r>
          </w:p>
        </w:tc>
        <w:tc>
          <w:tcPr>
            <w:tcW w:w="400" w:type="dxa"/>
            <w:vAlign w:val="bottom"/>
          </w:tcPr>
          <w:p>
            <w:pPr>
              <w:spacing w:after="0"/>
              <w:rPr>
                <w:sz w:val="15"/>
                <w:szCs w:val="15"/>
                <w:color w:val="auto"/>
              </w:rPr>
            </w:pPr>
          </w:p>
        </w:tc>
        <w:tc>
          <w:tcPr>
            <w:tcW w:w="14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Sale</w:t>
            </w:r>
          </w:p>
        </w:tc>
        <w:tc>
          <w:tcPr>
            <w:tcW w:w="18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(Securitized)</w:t>
            </w: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100,679</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(94,949)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Purchase of loans for immediate resale to investors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848,540</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Immediate resale to investors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(848,540)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(848,540)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Loans Held-for-</w:t>
            </w:r>
          </w:p>
        </w:tc>
        <w:tc>
          <w:tcPr>
            <w:tcW w:w="200" w:type="dxa"/>
            <w:vAlign w:val="bottom"/>
          </w:tcPr>
          <w:p>
            <w:pPr>
              <w:spacing w:after="0"/>
              <w:rPr>
                <w:sz w:val="17"/>
                <w:szCs w:val="17"/>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Loans Held-for-</w:t>
            </w:r>
          </w:p>
        </w:tc>
        <w:tc>
          <w:tcPr>
            <w:tcW w:w="20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Loans Held-for-</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Investment</w:t>
            </w:r>
          </w:p>
        </w:tc>
        <w:tc>
          <w:tcPr>
            <w:tcW w:w="400" w:type="dxa"/>
            <w:vAlign w:val="bottom"/>
          </w:tcPr>
          <w:p>
            <w:pPr>
              <w:spacing w:after="0"/>
              <w:rPr>
                <w:sz w:val="15"/>
                <w:szCs w:val="15"/>
                <w:color w:val="auto"/>
              </w:rPr>
            </w:pPr>
          </w:p>
        </w:tc>
        <w:tc>
          <w:tcPr>
            <w:tcW w:w="14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Sale</w:t>
            </w:r>
          </w:p>
        </w:tc>
        <w:tc>
          <w:tcPr>
            <w:tcW w:w="20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(Securitized)</w:t>
            </w: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(46,469)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Purchase of loans for immediate resale to investors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1,294,634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Immediate resale to investors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(1,294,634)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(1,294,634)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57,189</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related to Securitization Transactions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and March 31, 2021, the Company held notes receivable and residual certificates with an aggregate fair value of $19.1 million and $16.0 million, respectively. The balances consist of securitization notes and residual certificates corresponding to the 5% economic risk retention the Company is required to maintain as the retaining sponsor of the unconsolidated securitizations.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discounted cash flow methodology is used to estimate the fair value of notes receivable and residual certificates, using the same projected net cash flows as their related loans. This model uses inputs that are inherently judgmental and reflect the Company’s best estimates of the assumptions a market participant would use to calculate fair value.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of assets related to securitization transactions: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 2021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2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Weighted-</w:t>
            </w:r>
          </w:p>
        </w:tc>
        <w:tc>
          <w:tcPr>
            <w:tcW w:w="80" w:type="dxa"/>
            <w:vAlign w:val="bottom"/>
          </w:tcPr>
          <w:p>
            <w:pPr>
              <w:spacing w:after="0"/>
              <w:rPr>
                <w:sz w:val="14"/>
                <w:szCs w:val="14"/>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Minimum</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tcPr>
          <w:p>
            <w:pPr>
              <w:jc w:val="right"/>
              <w:ind w:right="36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14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00" w:type="dxa"/>
            <w:vAlign w:val="bottom"/>
          </w:tcPr>
          <w:p>
            <w:pPr>
              <w:jc w:val="right"/>
              <w:ind w:right="17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05"/>
        </w:trPr>
        <w:tc>
          <w:tcPr>
            <w:tcW w:w="28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Discount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3.01 %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17.40 %</w:t>
            </w:r>
          </w:p>
        </w:tc>
        <w:tc>
          <w:tcPr>
            <w:tcW w:w="0" w:type="dxa"/>
            <w:vAlign w:val="bottom"/>
          </w:tcPr>
          <w:p>
            <w:pPr>
              <w:spacing w:after="0"/>
              <w:rPr>
                <w:sz w:val="1"/>
                <w:szCs w:val="1"/>
                <w:color w:val="auto"/>
              </w:rPr>
            </w:pPr>
          </w:p>
        </w:tc>
      </w:tr>
      <w:tr>
        <w:trPr>
          <w:trHeight w:val="304"/>
        </w:trPr>
        <w:tc>
          <w:tcPr>
            <w:tcW w:w="2880" w:type="dxa"/>
            <w:vAlign w:val="bottom"/>
          </w:tcPr>
          <w:p>
            <w:pPr>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15.60 %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36.88 %</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27.63 %</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36.88 %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27.67 %</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060" w:hanging="485"/>
        <w:spacing w:after="0"/>
        <w:tabs>
          <w:tab w:leader="none" w:pos="1060" w:val="left"/>
        </w:tabs>
        <w:numPr>
          <w:ilvl w:val="0"/>
          <w:numId w:val="12"/>
        </w:numPr>
        <w:rPr>
          <w:rFonts w:ascii="Arial" w:cs="Arial" w:eastAsia="Arial" w:hAnsi="Arial"/>
          <w:sz w:val="13"/>
          <w:szCs w:val="13"/>
          <w:color w:val="auto"/>
        </w:rPr>
      </w:pPr>
      <w:r>
        <w:rPr>
          <w:rFonts w:ascii="Arial" w:cs="Arial" w:eastAsia="Arial" w:hAnsi="Arial"/>
          <w:sz w:val="16"/>
          <w:szCs w:val="16"/>
          <w:color w:val="auto"/>
        </w:rPr>
        <w:t>Expressed as a percentage of the original principal balance of the loans underlying the financial instruments</w:t>
      </w:r>
    </w:p>
    <w:p>
      <w:pPr>
        <w:spacing w:after="0" w:line="19" w:lineRule="exact"/>
        <w:rPr>
          <w:rFonts w:ascii="Arial" w:cs="Arial" w:eastAsia="Arial" w:hAnsi="Arial"/>
          <w:sz w:val="13"/>
          <w:szCs w:val="13"/>
          <w:color w:val="auto"/>
        </w:rPr>
      </w:pPr>
    </w:p>
    <w:p>
      <w:pPr>
        <w:ind w:left="1060" w:hanging="485"/>
        <w:spacing w:after="0"/>
        <w:tabs>
          <w:tab w:leader="none" w:pos="1060" w:val="left"/>
        </w:tabs>
        <w:numPr>
          <w:ilvl w:val="0"/>
          <w:numId w:val="12"/>
        </w:numPr>
        <w:rPr>
          <w:rFonts w:ascii="Arial" w:cs="Arial" w:eastAsia="Arial" w:hAnsi="Arial"/>
          <w:sz w:val="13"/>
          <w:szCs w:val="13"/>
          <w:color w:val="auto"/>
        </w:rPr>
      </w:pPr>
      <w:r>
        <w:rPr>
          <w:rFonts w:ascii="Arial" w:cs="Arial" w:eastAsia="Arial" w:hAnsi="Arial"/>
          <w:sz w:val="16"/>
          <w:szCs w:val="16"/>
          <w:color w:val="auto"/>
        </w:rPr>
        <w:t>Unobservable inputs were weighted by relative fair value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17% decrease in the fair value of the residual certificates. The remaining classes of securities, with the exception of those in 2018-2, are all overcollateralized such that changes in credit risk rates are not expected to have significant impacts on their fair values.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1.23% and 1.05% as of December 31, 2020 and March 31, 2021, respectively. On average, a hypothetical 200 basis point increase in discount rates results in a decrease in fair value of the securities (including securitization notes and residual certificates) of 2.36% and 2.08% as of December 31, 2020 and March 31, 2021, respectively.</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securitization notes and residual certificates are not sensitive to adverse changes in expected prepayment rates as such changes would not result in a significant impact on the fair value as of December 31, 2020 and March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a rollforward of the notes receivable and residual certificates related to securitization transactions classified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within Level 3 of the fair value hierarchy: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30"/>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r>
      <w:tr>
        <w:trPr>
          <w:trHeight w:val="236"/>
        </w:trPr>
        <w:tc>
          <w:tcPr>
            <w:tcW w:w="9080" w:type="dxa"/>
            <w:vAlign w:val="bottom"/>
          </w:tcPr>
          <w:p>
            <w:pPr>
              <w:ind w:left="20"/>
              <w:spacing w:after="0"/>
              <w:rPr>
                <w:sz w:val="20"/>
                <w:szCs w:val="20"/>
                <w:color w:val="auto"/>
              </w:rPr>
            </w:pPr>
            <w:r>
              <w:rPr>
                <w:rFonts w:ascii="Arial" w:cs="Arial" w:eastAsia="Arial" w:hAnsi="Arial"/>
                <w:sz w:val="18"/>
                <w:szCs w:val="18"/>
                <w:color w:val="auto"/>
              </w:rPr>
              <w:t>Purchases and issuances of securitization notes and residual certificates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30"/>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29"/>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(3,119)</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16,033</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generally based on the monthly unpaid principal balance of the underlying loans, the expected cash flows in the model incorporate estimates of net losses and prepayments.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 servicing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 2020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w w:val="93"/>
              </w:rPr>
              <w:t>March 31, 2021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17.73 %</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Market-servicing rate </w:t>
            </w:r>
            <w:r>
              <w:rPr>
                <w:rFonts w:ascii="Arial" w:cs="Arial" w:eastAsia="Arial" w:hAnsi="Arial"/>
                <w:sz w:val="23"/>
                <w:szCs w:val="23"/>
                <w:color w:val="auto"/>
                <w:vertAlign w:val="superscript"/>
              </w:rPr>
              <w:t>(3)(4)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304"/>
        </w:trPr>
        <w:tc>
          <w:tcPr>
            <w:tcW w:w="270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89.01 %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31.62 %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8.61 %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88.79 %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32.43 %</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spacing w:after="0" w:line="13" w:lineRule="exact"/>
        <w:rPr>
          <w:rFonts w:ascii="Arial" w:cs="Arial" w:eastAsia="Arial" w:hAnsi="Arial"/>
          <w:sz w:val="14"/>
          <w:szCs w:val="14"/>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 w:lineRule="exact"/>
        <w:rPr>
          <w:rFonts w:ascii="Arial" w:cs="Arial" w:eastAsia="Arial" w:hAnsi="Arial"/>
          <w:sz w:val="14"/>
          <w:szCs w:val="14"/>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1" w:lineRule="exact"/>
        <w:rPr>
          <w:rFonts w:ascii="Arial" w:cs="Arial" w:eastAsia="Arial" w:hAnsi="Arial"/>
          <w:sz w:val="14"/>
          <w:szCs w:val="14"/>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the Company’s estimate of the rates of return that market participants in servicing rights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Credit risk rate</w:t>
      </w:r>
      <w:r>
        <w:rPr>
          <w:rFonts w:ascii="Arial" w:cs="Arial" w:eastAsia="Arial" w:hAnsi="Arial"/>
          <w:sz w:val="18"/>
          <w:szCs w:val="18"/>
          <w:color w:val="auto"/>
        </w:rPr>
        <w:t>s–The credit risk rates are the Company’s estimate of the net cumulative principal payments that will not be repaid over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a loan expressed as a percentage of the original principal amount of the loan. The assumption regarding net cumulative losses impact the projected balances and expected terms of the loans, which are used to project future servicing revenues.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Market-servicing rates</w:t>
      </w:r>
      <w:r>
        <w:rPr>
          <w:rFonts w:ascii="Arial" w:cs="Arial" w:eastAsia="Arial" w:hAnsi="Arial"/>
          <w:sz w:val="17"/>
          <w:szCs w:val="17"/>
          <w:color w:val="auto"/>
        </w:rPr>
        <w:t>–Market-servicing rate is an estimated measure of adequate compensation for a market participant, if one was required. The</w:t>
      </w:r>
      <w:r>
        <w:rPr>
          <w:rFonts w:ascii="Arial" w:cs="Arial" w:eastAsia="Arial" w:hAnsi="Arial"/>
          <w:sz w:val="17"/>
          <w:szCs w:val="17"/>
          <w:i w:val="1"/>
          <w:iCs w:val="1"/>
          <w:color w:val="auto"/>
        </w:rPr>
        <w:t xml:space="preserve"> </w:t>
      </w:r>
      <w:r>
        <w:rPr>
          <w:rFonts w:ascii="Arial" w:cs="Arial" w:eastAsia="Arial" w:hAnsi="Arial"/>
          <w:sz w:val="17"/>
          <w:szCs w:val="17"/>
          <w:color w:val="auto"/>
        </w:rPr>
        <w:t>rate is expressed as a fixed percentage of outstanding principal balance on a per annum basis. The estimate considers the profit that would be demanded in the marketplace to service the portfolio of outstanding loans subject to the Company’s servicing agreements.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the Company’s estimate of the cumulative principal prepayments that will occur over the entire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a percentage of the original principal amount of the loan. The assumption regarding cumulative prepayments impact the projected balances and expected terms of the loans, which are used to project future servicing revenues.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2020 and March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3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w:t>
            </w: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(40,122)</w:t>
            </w: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(4,646)</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3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6"/>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w:t>
            </w: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45,948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49,857</w:t>
            </w: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5,773</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80" w:type="dxa"/>
            <w:vAlign w:val="bottom"/>
          </w:tcPr>
          <w:p>
            <w:pPr>
              <w:spacing w:after="0"/>
              <w:rPr>
                <w:sz w:val="18"/>
                <w:szCs w:val="18"/>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Loan Servicing</w:t>
            </w:r>
          </w:p>
        </w:tc>
      </w:tr>
      <w:tr>
        <w:trPr>
          <w:trHeight w:val="230"/>
        </w:trPr>
        <w:tc>
          <w:tcPr>
            <w:tcW w:w="7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19"/>
                <w:szCs w:val="19"/>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Loan Servicing</w:t>
            </w:r>
          </w:p>
        </w:tc>
        <w:tc>
          <w:tcPr>
            <w:tcW w:w="180" w:type="dxa"/>
            <w:vAlign w:val="bottom"/>
          </w:tcPr>
          <w:p>
            <w:pPr>
              <w:spacing w:after="0"/>
              <w:rPr>
                <w:sz w:val="18"/>
                <w:szCs w:val="18"/>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Loan Servicing</w:t>
            </w:r>
          </w:p>
        </w:tc>
      </w:tr>
      <w:tr>
        <w:trPr>
          <w:trHeight w:val="230"/>
        </w:trPr>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19"/>
                <w:szCs w:val="19"/>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6,831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80" w:type="dxa"/>
            <w:vAlign w:val="bottom"/>
          </w:tcPr>
          <w:p>
            <w:pPr>
              <w:spacing w:after="0"/>
              <w:rPr>
                <w:sz w:val="19"/>
                <w:szCs w:val="19"/>
                <w:color w:val="auto"/>
              </w:rPr>
            </w:pP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88"/>
              </w:rPr>
              <w:t>3,452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3,519</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1"/>
              </w:rPr>
              <w:t>(1,549)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88"/>
              </w:rPr>
              <w:t>8,734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Trailing Fee Liabilities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3.52% to 16.60% and credit risk rates of 0.21% to 52.31%.</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sensitivity of trailing fee liabilities to adverse changes in key assumptions would not result in a material impact on the Company’s financial 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trailing fee liabilities classified by the Company within Level 3 of the fair value hierarchy: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Trailing Fee</w:t>
            </w:r>
          </w:p>
        </w:tc>
      </w:tr>
      <w:tr>
        <w:trPr>
          <w:trHeight w:val="229"/>
        </w:trPr>
        <w:tc>
          <w:tcPr>
            <w:tcW w:w="9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504</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40" w:type="dxa"/>
            <w:vAlign w:val="bottom"/>
          </w:tcPr>
          <w:p>
            <w:pPr>
              <w:spacing w:after="0"/>
              <w:rPr>
                <w:sz w:val="19"/>
                <w:szCs w:val="19"/>
                <w:color w:val="auto"/>
              </w:rPr>
            </w:pPr>
          </w:p>
        </w:tc>
        <w:tc>
          <w:tcPr>
            <w:tcW w:w="1440" w:type="dxa"/>
            <w:vAlign w:val="bottom"/>
          </w:tcPr>
          <w:p>
            <w:pPr>
              <w:ind w:left="1100"/>
              <w:spacing w:after="0"/>
              <w:rPr>
                <w:sz w:val="20"/>
                <w:szCs w:val="20"/>
                <w:color w:val="auto"/>
              </w:rPr>
            </w:pPr>
            <w:r>
              <w:rPr>
                <w:rFonts w:ascii="Arial" w:cs="Arial" w:eastAsia="Arial" w:hAnsi="Arial"/>
                <w:sz w:val="18"/>
                <w:szCs w:val="18"/>
                <w:color w:val="auto"/>
              </w:rPr>
              <w:t>312</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3"/>
              </w:rPr>
              <w:t>(54)</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762</w:t>
            </w:r>
          </w:p>
        </w:tc>
      </w:tr>
      <w:tr>
        <w:trPr>
          <w:trHeight w:val="20"/>
        </w:trPr>
        <w:tc>
          <w:tcPr>
            <w:tcW w:w="9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Trailing Fee</w:t>
            </w:r>
          </w:p>
        </w:tc>
      </w:tr>
      <w:tr>
        <w:trPr>
          <w:trHeight w:val="229"/>
        </w:trPr>
        <w:tc>
          <w:tcPr>
            <w:tcW w:w="9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36"/>
        </w:trPr>
        <w:tc>
          <w:tcPr>
            <w:tcW w:w="956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r>
      <w:tr>
        <w:trPr>
          <w:trHeight w:val="21"/>
        </w:trPr>
        <w:tc>
          <w:tcPr>
            <w:tcW w:w="9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Loans at Fair Value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Loans &gt; 90 Days Past Due</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14"/>
                <w:szCs w:val="14"/>
                <w:color w:val="auto"/>
              </w:rPr>
            </w:pPr>
          </w:p>
        </w:tc>
        <w:tc>
          <w:tcPr>
            <w:tcW w:w="13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March 31, 2021</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principal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7"/>
              </w:rPr>
              <w:t>97,497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76,573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fair value and accrued interest adjustments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2"/>
              </w:rPr>
              <w:t>(19,037)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2"/>
              </w:rPr>
              <w:t>(19,384)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7"/>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57,189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9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and other receivables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Loan servicing assets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8,734</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51,937</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Servicing fees and other receivables represent amounts recognized as revenue but not yet collected in relation to servicing and other agreements with institutional investors and bank partners.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2020 and 2021, depreciation and amortization expense on property, equipment, and software was immaterial. Capitalized internally developed software balances, net of accumulated amortization, were $6.0 million as of both December 31, 2020 and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19,791</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Trailing fee liability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42,869</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aggregate principal outstanding of all loans mentioned in this note that are included in the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190"/>
              <w:spacing w:after="0"/>
              <w:rPr>
                <w:sz w:val="20"/>
                <w:szCs w:val="20"/>
                <w:color w:val="auto"/>
              </w:rPr>
            </w:pPr>
            <w:r>
              <w:rPr>
                <w:rFonts w:ascii="Arial" w:cs="Arial" w:eastAsia="Arial" w:hAnsi="Arial"/>
                <w:sz w:val="18"/>
                <w:szCs w:val="18"/>
                <w:b w:val="1"/>
                <w:bCs w:val="1"/>
                <w:color w:val="auto"/>
              </w:rPr>
              <w:t>Borrowings</w:t>
            </w:r>
          </w:p>
        </w:tc>
      </w:tr>
      <w:tr>
        <w:trPr>
          <w:trHeight w:val="223"/>
        </w:trPr>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March 31, 2021</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Risk retention funding loans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payments due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41,928</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2018, the Company and UNI entered into a mezzanine loan and security agreement to obtain a second term loan of up to $15.0 million (the “Mezzanine Loan”). The Mezzanine Loan bears interest at the greater of prime rate plus 5.25% or 10.00% per annum, payable monthly. The principal balance is due upon maturity on October 1, 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loans are secured by all assets of the Company, excluding assets of consolidated securitizations and cash and restricted cash relating to other borrowing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LSA with the same lender above, as amended in September 2018, the Company and UNI also obtained a revolving credit facility of up to $5.5 million (the “UNI Credit Facility”). The UNI Credit Facility had an original termination and maturity date of June 1, 2020. In 2020, the parties agreed to extend the maturity date of the UNI Credit Facility to June 1, 2021 when the outstanding principal and any accrued and unpaid interest are due and payable in full. The UNI Credit Facility bears floating interest at the greater of prime rate plus 1.00% or 4.25% annum, payable monthly, subject to a monthly minimum interest requirement prior to maturity.</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UNI Credit Facility is secured by all assets of the Company, excluding assets of consolidated securitizations and cash and restricted cash relating to other borrowing arrangements. The UNI Credit Facility contains certain financial covenants. As of December 31, 2020 and March 31, 2021, the Company was in compliance with all applicable covenants under the revolving credit and security agreement. As of December 31, 2020 and March 31, 2021, outstanding borrowings under the UNI Credit Facility was $5.5 million.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Under the revolving credit and security agreement, as amended from time to time, ULT may borrow up to $100.0 million (subject to a borrowing base capacity) until the earlier of May 15, 2021 or the occurrence of an accelerated amortization event. An accelerated amortization event includes failure to satisfy certain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performance metrics or the occurrence of an event of default. The proceeds may only be used to purchase unsecured personal loans from Upstart’s platform and to pay fees and expenses related to the credit facility. The ULT Warehouse Credit Facility matures on the earlier of May 15, 2022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plus a spread ranging from 3.35% to 4.00% per annum, due and payable monthly in arrears. The Company is subject to additional interest payments under a minimum utilization requirement of $35 million. The maximum advance rate under the ULT Warehouse Credit Facility on outstanding principal of loans held by ULT was 80% as of December 31, 2020 and March 31, 2021.</w:t>
      </w:r>
    </w:p>
    <w:p>
      <w:pPr>
        <w:spacing w:after="0" w:line="1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ULT Warehouse Credit Facility contains certain financial covenants. As of March 31, 2021 and 2020, ULT was in material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includes the aggregate balances held by ULT that were pledged as collateral for the ULT Warehouse Credit Facility and included in loans at fair value and restricted cash in the condensed consolidated balance sheets,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ULT Warehouse Credit Facility</w:t>
            </w:r>
          </w:p>
        </w:tc>
      </w:tr>
      <w:tr>
        <w:trPr>
          <w:trHeight w:val="229"/>
        </w:trPr>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March 31, 2021</w:t>
            </w:r>
          </w:p>
        </w:tc>
      </w:tr>
      <w:tr>
        <w:trPr>
          <w:trHeight w:val="237"/>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59,709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28,854</w:t>
            </w:r>
          </w:p>
        </w:tc>
      </w:tr>
      <w:tr>
        <w:trPr>
          <w:trHeight w:val="26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loans purchased and held by ULT</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28,795</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18,487</w:t>
            </w: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Retention Funding Loans</w:t>
      </w:r>
    </w:p>
    <w:p>
      <w:pPr>
        <w:spacing w:after="0" w:line="25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w:t>
      </w:r>
    </w:p>
    <w:p>
      <w:pPr>
        <w:spacing w:after="0" w:line="2" w:lineRule="exact"/>
        <w:rPr>
          <w:sz w:val="20"/>
          <w:szCs w:val="20"/>
          <w:color w:val="auto"/>
        </w:rPr>
      </w:pPr>
    </w:p>
    <w:p>
      <w:pPr>
        <w:ind w:firstLine="8"/>
        <w:spacing w:after="0" w:line="260" w:lineRule="auto"/>
        <w:tabs>
          <w:tab w:leader="none" w:pos="2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entity as part of monthly cash distributions from the 2018-2 securitization on securitization notes and residual certificates. As of December 31, 2020 and March 31, 2021, the outstanding principal balance under the 2018-2 RR Financing Agreement was immaterial.</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2020 and March 31, 2021, the outstanding principal balance under the 2019-2 RR Financing Agreement was $6.6 million and $5.1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$12.6 million and $10.8 million of securities held for risk retention for the 2018-2 and 2019-2 securitization transactions, included in notes receivables and residual certificates on the condensed consolidated balance sheets as of December 31, 2020 and March 31, 2021,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the aggregate amount of maturities of all borrowings as of March 31, 2021:</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040" w:type="dxa"/>
            <w:vAlign w:val="bottom"/>
            <w:tcBorders>
              <w:bottom w:val="single" w:sz="8" w:color="CCEEFF"/>
            </w:tcBorders>
          </w:tcPr>
          <w:p>
            <w:pPr>
              <w:spacing w:after="0"/>
              <w:rPr>
                <w:sz w:val="24"/>
                <w:szCs w:val="24"/>
                <w:color w:val="auto"/>
              </w:rPr>
            </w:pPr>
          </w:p>
        </w:tc>
        <w:tc>
          <w:tcPr>
            <w:tcW w:w="85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March 31, 2021</w:t>
            </w:r>
          </w:p>
        </w:tc>
        <w:tc>
          <w:tcPr>
            <w:tcW w:w="0" w:type="dxa"/>
            <w:vAlign w:val="bottom"/>
          </w:tcPr>
          <w:p>
            <w:pPr>
              <w:spacing w:after="0"/>
              <w:rPr>
                <w:sz w:val="1"/>
                <w:szCs w:val="1"/>
                <w:color w:val="auto"/>
              </w:rPr>
            </w:pPr>
          </w:p>
        </w:tc>
      </w:tr>
      <w:tr>
        <w:trPr>
          <w:trHeight w:val="223"/>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2022</w:t>
            </w:r>
          </w:p>
        </w:tc>
        <w:tc>
          <w:tcPr>
            <w:tcW w:w="8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16,357</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2024</w:t>
            </w:r>
          </w:p>
        </w:tc>
        <w:tc>
          <w:tcPr>
            <w:tcW w:w="8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Total</w:t>
            </w:r>
          </w:p>
        </w:tc>
        <w:tc>
          <w:tcPr>
            <w:tcW w:w="8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41,928</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8.</w:t>
            </w:r>
          </w:p>
        </w:tc>
        <w:tc>
          <w:tcPr>
            <w:tcW w:w="85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Common Stock and Common Stock Warrants</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040" w:type="dxa"/>
            <w:vAlign w:val="bottom"/>
            <w:vMerge w:val="continue"/>
          </w:tcPr>
          <w:p>
            <w:pPr>
              <w:spacing w:after="0"/>
              <w:rPr>
                <w:sz w:val="24"/>
                <w:szCs w:val="24"/>
                <w:color w:val="auto"/>
              </w:rPr>
            </w:pPr>
          </w:p>
        </w:tc>
        <w:tc>
          <w:tcPr>
            <w:tcW w:w="8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2020, the Company's amended and restated certificate of incorporation became effective, which authorized the issuance of 700,000,000 shares of common stock with a par value of $0.0001 per share.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on an as-converted basis,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176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8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19,590,771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RSUs outstanding</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827,192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issuance under 2020 plan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2,537,181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10,389,402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Shares available for issuance under ESPP</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2,113,140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22,212,404</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32,920,505</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2018, the Company issued stock warrants to purchase 75,000 shares of common stock, with an exercise price of $2.16 per share. The estimated grant date fair value of the common stock warrants was recognized as debt issuance costs in the period granted. The common stock warrant has a contractual term of ten years and expire in October 2028.</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December 1, 2020, the common stock warrant agreement was amended to include a repurchase option in the event of an IPO. Upon the completion of an IPO, or a qualified acquisition of the Company, the common stock warrant holders have the option to require the Company to repurchase the warrant in its entirety for a purchase price of $1.5 million. The repurchase option terminates on the earlier of (i) 30 days after the closing of a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sale of the Company or; (ii) 10 business days after the date on which the Company’s IPO price per share is confirmed by the Company’s underwriters.</w:t>
      </w:r>
    </w:p>
    <w:p>
      <w:pPr>
        <w:spacing w:after="0" w:line="2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31, 2020, the repurchase clause for the warrant expired resulting in the fair market value of 75,000 warrants reclassified from liability to equity on the condensed consolidated balance sheets. On January 13, 2021, the warrant holder net exercised the warrant resulting in 72,407 common shares issued by the Company. As of March 31, 2021 no common stock warrants were outstanding.</w:t>
      </w:r>
    </w:p>
    <w:p>
      <w:pPr>
        <w:spacing w:after="0" w:line="200" w:lineRule="exact"/>
        <w:rPr>
          <w:sz w:val="20"/>
          <w:szCs w:val="20"/>
          <w:color w:val="auto"/>
        </w:rPr>
      </w:pPr>
    </w:p>
    <w:p>
      <w:pPr>
        <w:spacing w:after="0" w:line="223"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2012, the Company adopted the Equity Incentive Plan (“2012 Equity Incentive Plan”) authorizing the granting of incentive stock options (“ISOs”) and non-statutory stock options (“NSOs”) to eligible participants.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2020 Equity Incentive Plan authorizes granting of ISOs, NSOs, stock appreciation rights, restricted stock, restricted stock units, or RSUs, and performance awards. As of March 31, 2021, the Company is authorized to issue up to 10,389,402 shares of common stock under the 2020 Equity Incentive Plan.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the 2021 in an amount equal to the least of 15,000,000 shares or 5% of the outstanding shares of our common stock on the last day of our immediately preceding fiscal year.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stock option activity for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7"/>
                <w:szCs w:val="17"/>
                <w:color w:val="auto"/>
              </w:rPr>
            </w:pPr>
          </w:p>
        </w:tc>
        <w:tc>
          <w:tcPr>
            <w:tcW w:w="128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220" w:type="dxa"/>
            <w:vAlign w:val="bottom"/>
          </w:tcPr>
          <w:p>
            <w:pPr>
              <w:spacing w:after="0"/>
              <w:rPr>
                <w:sz w:val="15"/>
                <w:szCs w:val="15"/>
                <w:color w:val="auto"/>
              </w:rPr>
            </w:pPr>
          </w:p>
        </w:tc>
        <w:tc>
          <w:tcPr>
            <w:tcW w:w="12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$ 715,084</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606,830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19,590,771</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2,379,126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Options exercisable – March 31, 2021</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1,438,789</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11,309,977</w:t>
            </w:r>
          </w:p>
        </w:tc>
        <w:tc>
          <w:tcPr>
            <w:tcW w:w="4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vested and expected to vest – March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19,168,127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2,336,779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awards and the fair value of the Company’s stock as of March 31, 2021. The aggregate intrinsic value of options exercised for the three months ended March 31, 2020 and 2021, was $0.8 million and $65.7 million, respectively. The weighted-average grant date fair value of options granted during the three months ended March 31, 2020 and 2021, was $5.23 and $61.67 per share, respectively. The total fair value of options vested for the three months ended March 31, 2020 and 2021, was $1.0 million and $3.6 million, respectively.</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total unrecognized stock-based compensation expense related to unvested stock options was $77.3 million, which is expected to be recognized over a remaining weighted-average period of 2.4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2021, the Company began granting RSUs to employees and nonemployees. RSUs vest upon satisfaction of a service-based condition, which is generally satisfied over four years. The following table summarized RSU activity for three months ended March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Weighted Average Grant</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RSUs 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835,307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total unrecognized stock-based compensation expense related to outstanding unvested RSUs was $82.1 million, which is expected to be recognized over a remaining weighted-average period of 3.5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ESPP which was effective on December 14, 2020. Our ESPP provides for consecutive six-month offering periods. The offering periods are scheduled to start on the first trading day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February 15 and August 15 of each year, except the first offering period commenced on December 16, 2020 and will end on the first trading day on or before August 15, 2021. The second offering period will commence on the last trading day on or after August 15, 2021. The ESPP permits participants to purchase shares in the amount of 85% of the lower of the fair market value of our shares of common stock on the first trading day of the offering period or on the exercise date. As of March 31, 2021, the maximum number of shares of common stock that can be issued under the employee stock purchase plan was 2,113,140 shares, in addition to any automatic annual evergreen increase. As of March 31, 2021, no shares of common stock have been purchased under the ESPP.</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total unrecognized stock-based compensation expense related to ESPP was $3.1 million, which is expected to be recognized over a remaining weighted-average period of 0.4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Awards Granted</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 Prior to the completion of the IPO, the fair value of the shares of common stock was determined by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as there was no public market for the Company’s common stock. After the completion of the IPO, the fair value of the Company’s common stock is determined by the closing price, on the date of grant, of its common stock, which is traded on the Nasdaq Global Select Market.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Company’s stock options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the expected term for employee stock options based on historical terminations and exercise behavior, which factors in an extended post-termination exercise provision for vested awards for certain employees that provide more than three years of service to the Company. The Company uses the contractual term for all nonemployee awards.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Because the Company does not have an active trading market for its common stock for a sufficient period of time,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estimated based on the average volatility for comparable publicly-traded companies, over a period equal to the expected term of the stock option grants.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assumption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Company has never paid dividends on its common stock and does not anticipate paying dividends on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uses an expected dividend yield of zero.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ind w:left="660"/>
              <w:spacing w:after="0"/>
              <w:rPr>
                <w:sz w:val="20"/>
                <w:szCs w:val="20"/>
                <w:color w:val="auto"/>
              </w:rPr>
            </w:pPr>
            <w:r>
              <w:rPr>
                <w:rFonts w:ascii="Arial" w:cs="Arial" w:eastAsia="Arial" w:hAnsi="Arial"/>
                <w:sz w:val="18"/>
                <w:szCs w:val="18"/>
                <w:color w:val="auto"/>
              </w:rPr>
              <w:t>The following assumptions were used to estimate the fair value of options granted:</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3"/>
        </w:trPr>
        <w:tc>
          <w:tcPr>
            <w:tcW w:w="7280" w:type="dxa"/>
            <w:vAlign w:val="bottom"/>
          </w:tcPr>
          <w:p>
            <w:pPr>
              <w:spacing w:after="0"/>
              <w:rPr>
                <w:sz w:val="24"/>
                <w:szCs w:val="24"/>
                <w:color w:val="auto"/>
              </w:rPr>
            </w:pPr>
          </w:p>
        </w:tc>
        <w:tc>
          <w:tcPr>
            <w:tcW w:w="396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5.4 – 10.0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jc w:val="right"/>
              <w:spacing w:after="0"/>
              <w:rPr>
                <w:sz w:val="20"/>
                <w:szCs w:val="20"/>
                <w:color w:val="auto"/>
              </w:rPr>
            </w:pPr>
            <w:r>
              <w:rPr>
                <w:rFonts w:ascii="Arial" w:cs="Arial" w:eastAsia="Arial" w:hAnsi="Arial"/>
                <w:sz w:val="18"/>
                <w:szCs w:val="18"/>
                <w:color w:val="auto"/>
              </w:rPr>
              <w:t>53.23%</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55.35%</w:t>
            </w:r>
          </w:p>
        </w:tc>
        <w:tc>
          <w:tcPr>
            <w:tcW w:w="900" w:type="dxa"/>
            <w:vAlign w:val="bottom"/>
          </w:tcPr>
          <w:p>
            <w:pPr>
              <w:jc w:val="right"/>
              <w:spacing w:after="0"/>
              <w:rPr>
                <w:sz w:val="20"/>
                <w:szCs w:val="20"/>
                <w:color w:val="auto"/>
              </w:rPr>
            </w:pPr>
            <w:r>
              <w:rPr>
                <w:rFonts w:ascii="Arial" w:cs="Arial" w:eastAsia="Arial" w:hAnsi="Arial"/>
                <w:sz w:val="18"/>
                <w:szCs w:val="18"/>
                <w:color w:val="auto"/>
              </w:rPr>
              <w:t>63.12%</w:t>
            </w:r>
          </w:p>
        </w:tc>
        <w:tc>
          <w:tcPr>
            <w:tcW w:w="1040" w:type="dxa"/>
            <w:vAlign w:val="bottom"/>
          </w:tcPr>
          <w:p>
            <w:pPr>
              <w:ind w:left="20"/>
              <w:spacing w:after="0"/>
              <w:rPr>
                <w:sz w:val="20"/>
                <w:szCs w:val="20"/>
                <w:color w:val="auto"/>
              </w:rPr>
            </w:pPr>
            <w:r>
              <w:rPr>
                <w:rFonts w:ascii="Arial" w:cs="Arial" w:eastAsia="Arial" w:hAnsi="Arial"/>
                <w:sz w:val="18"/>
                <w:szCs w:val="18"/>
                <w:color w:val="auto"/>
              </w:rPr>
              <w:t>– 65.01%</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1.14%</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2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 %</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7"/>
              </w:rPr>
              <w:t>— %</w:t>
            </w:r>
          </w:p>
        </w:tc>
      </w:tr>
    </w:tbl>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the Company’s ESPP for the initial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41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40" w:type="dxa"/>
            <w:vAlign w:val="bottom"/>
            <w:tcBorders>
              <w:bottom w:val="single" w:sz="8" w:color="CCEEFF"/>
            </w:tcBorders>
          </w:tcPr>
          <w:p>
            <w:pPr>
              <w:spacing w:after="0"/>
              <w:rPr>
                <w:sz w:val="19"/>
                <w:szCs w:val="19"/>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61.65%</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0.09%</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100" w:type="dxa"/>
            <w:vAlign w:val="bottom"/>
          </w:tcPr>
          <w:p>
            <w:pPr>
              <w:jc w:val="center"/>
              <w:spacing w:after="0"/>
              <w:rPr>
                <w:sz w:val="20"/>
                <w:szCs w:val="20"/>
                <w:color w:val="auto"/>
              </w:rPr>
            </w:pPr>
            <w:r>
              <w:rPr>
                <w:rFonts w:ascii="Arial" w:cs="Arial" w:eastAsia="Arial" w:hAnsi="Arial"/>
                <w:sz w:val="18"/>
                <w:szCs w:val="18"/>
                <w:color w:val="auto"/>
                <w:w w:val="97"/>
              </w:rPr>
              <w:t>— %</w:t>
            </w:r>
          </w:p>
        </w:tc>
      </w:tr>
    </w:tbl>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stock-based compensation in the following expense categories in its condensed consolidated statements of operations and comprehensive income for employees and nonemployees: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46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b w:val="1"/>
                <w:bCs w:val="1"/>
                <w:color w:val="auto"/>
                <w:w w:val="98"/>
              </w:rPr>
              <w:t>Three Months Ended March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Customer operations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other</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Stock-based compensation expense by award type was as follows: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1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40" w:type="dxa"/>
            <w:vAlign w:val="bottom"/>
          </w:tcPr>
          <w:p>
            <w:pPr>
              <w:spacing w:after="0"/>
              <w:rPr>
                <w:sz w:val="24"/>
                <w:szCs w:val="24"/>
                <w:color w:val="auto"/>
              </w:rPr>
            </w:pPr>
          </w:p>
        </w:tc>
        <w:tc>
          <w:tcPr>
            <w:tcW w:w="346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b w:val="1"/>
                <w:bCs w:val="1"/>
                <w:color w:val="auto"/>
                <w:w w:val="98"/>
              </w:rPr>
              <w:t>Three Months Ended March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RSUs</w:t>
            </w:r>
          </w:p>
        </w:tc>
        <w:tc>
          <w:tcPr>
            <w:tcW w:w="13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operating leases are primarily for its corporate headquarters in San Mateo, California and Columbus, Ohio. Both operating leases include early termination options, and one of the leases includes renewal options for two successive five-year periods. The exercise of these options was not recognized as part of the ROU assets and lease liabilities, as the Company did not conclude, at the commencement date of the leases, that the exercise of renewal options or termination options was reasonably certain. In connection with one of the leases, a letter of credit was issued on behalf of the Company for the benefit of the landlord in the amount of $2.0 million. The letter of credit is secured by a certificate of deposit which is included in restricted cash on the condensed consolidated balance sheets.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future minimum non-cancelable lease payments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Operating Leases</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5,221</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2,567</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adjustment</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18,621</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Company does not have any operating leases which are yet to commence.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March 31, 2021 the Company did not have any material finance leases. The Company’s operating lease expense consists of rent and variable lease payments. Variable lease payments such as common area maintenance and parking fees, were included in operating expenses. Rent expense for the Company’s short-term leases was immaterial for the three months ended March 31, 2020 and 2021. Operating lease expense was as follows:</w:t>
      </w:r>
    </w:p>
    <w:p>
      <w:pPr>
        <w:spacing w:after="0" w:line="2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17145</wp:posOffset>
            </wp:positionV>
            <wp:extent cx="259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7960"/>
        <w:spacing w:after="0"/>
        <w:tabs>
          <w:tab w:leader="none" w:pos="100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Variable lease payments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108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r>
      <w:tr>
        <w:trPr>
          <w:trHeight w:val="21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553"/>
        </w:trPr>
        <w:tc>
          <w:tcPr>
            <w:tcW w:w="9240" w:type="dxa"/>
            <w:vAlign w:val="bottom"/>
            <w:gridSpan w:val="5"/>
          </w:tcPr>
          <w:p>
            <w:pPr>
              <w:ind w:left="660"/>
              <w:spacing w:after="0"/>
              <w:rPr>
                <w:sz w:val="20"/>
                <w:szCs w:val="20"/>
                <w:color w:val="auto"/>
              </w:rPr>
            </w:pPr>
            <w:r>
              <w:rPr>
                <w:rFonts w:ascii="Arial" w:cs="Arial" w:eastAsia="Arial" w:hAnsi="Arial"/>
                <w:sz w:val="18"/>
                <w:szCs w:val="18"/>
                <w:color w:val="auto"/>
                <w:w w:val="99"/>
              </w:rPr>
              <w:t>Supplemental cash flow and noncash information related to the Company’s operating leases was as follows:</w:t>
            </w: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68"/>
        </w:trPr>
        <w:tc>
          <w:tcPr>
            <w:tcW w:w="10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080" w:type="dxa"/>
            <w:vAlign w:val="bottom"/>
            <w:tcBorders>
              <w:bottom w:val="single" w:sz="8" w:color="CCEEFF"/>
            </w:tcBorders>
          </w:tcPr>
          <w:p>
            <w:pPr>
              <w:spacing w:after="0"/>
              <w:rPr>
                <w:sz w:val="20"/>
                <w:szCs w:val="20"/>
                <w:color w:val="auto"/>
              </w:rPr>
            </w:pPr>
          </w:p>
        </w:tc>
        <w:tc>
          <w:tcPr>
            <w:tcW w:w="60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4.37</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5.09%</w:t>
            </w:r>
          </w:p>
        </w:tc>
      </w:tr>
      <w:tr>
        <w:trPr>
          <w:trHeight w:val="769"/>
        </w:trPr>
        <w:tc>
          <w:tcPr>
            <w:tcW w:w="1080" w:type="dxa"/>
            <w:vAlign w:val="bottom"/>
          </w:tcPr>
          <w:p>
            <w:pPr>
              <w:ind w:left="660"/>
              <w:spacing w:after="0"/>
              <w:rPr>
                <w:sz w:val="20"/>
                <w:szCs w:val="20"/>
                <w:color w:val="auto"/>
              </w:rPr>
            </w:pPr>
            <w:r>
              <w:rPr>
                <w:rFonts w:ascii="Arial" w:cs="Arial" w:eastAsia="Arial" w:hAnsi="Arial"/>
                <w:sz w:val="18"/>
                <w:szCs w:val="18"/>
                <w:b w:val="1"/>
                <w:bCs w:val="1"/>
                <w:color w:val="auto"/>
              </w:rPr>
              <w:t>11.</w:t>
            </w:r>
          </w:p>
        </w:tc>
        <w:tc>
          <w:tcPr>
            <w:tcW w:w="6060" w:type="dxa"/>
            <w:vAlign w:val="bottom"/>
          </w:tcPr>
          <w:p>
            <w:pPr>
              <w:ind w:left="200"/>
              <w:spacing w:after="0"/>
              <w:rPr>
                <w:sz w:val="20"/>
                <w:szCs w:val="20"/>
                <w:color w:val="auto"/>
              </w:rPr>
            </w:pPr>
            <w:r>
              <w:rPr>
                <w:rFonts w:ascii="Arial" w:cs="Arial" w:eastAsia="Arial" w:hAnsi="Arial"/>
                <w:sz w:val="18"/>
                <w:szCs w:val="18"/>
                <w:b w:val="1"/>
                <w:bCs w:val="1"/>
                <w:color w:val="auto"/>
              </w:rPr>
              <w:t>Commitments and Contingencies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Purchase Obligation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plus accrued interest, at the conclusion of the required holding period. As of December 31, 2020 and March 31, 2021, the total loan purchase commitment included outstanding principal balance of $39.3 million and $82.4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 and Indemnification Contingency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maximum potential amount of future payments associated under this obligation is the outstanding balances of the loans sold to the investors, which at December 31, 2020 and March 31, 2021, is $5,180.7 million and $6,224.0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2020 and March 31, 2021 of immaterial amounts to cover estimated future obligations related to these contractual terms. These amounts are included in accrued expenses and other liabilities on the Company’s condensed consolidated balance sheets.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2020 and March 31, 2021, no loss contingency has been recorded in connection with legal proceedings arising in the ordinary course of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effective tax rates for the three months ended March 31, 2020 and 2021, were 0% and 1.96%. The change in the tax rate for the three months ended March 31, 2021 was due to an increase in state tax expense after utilizing taxable losses in the various jurisdictions.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5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the Company’s inception, it has engaged in various transactions with its executive officers and directors, holders of more than 10% of its voting securities, and their affiliates.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related party investor and its affiliates also participated in securitization transactions co-sponsored and serviced by the Company in the three months ended March 31, 2020 by contributing loans and purchasing securitization notes or residual certificates.</w:t>
      </w:r>
    </w:p>
    <w:p>
      <w:pPr>
        <w:spacing w:after="0" w:line="200" w:lineRule="exact"/>
        <w:rPr>
          <w:sz w:val="20"/>
          <w:szCs w:val="20"/>
          <w:color w:val="auto"/>
        </w:rPr>
      </w:pPr>
    </w:p>
    <w:p>
      <w:pPr>
        <w:spacing w:after="0" w:line="209"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 Attributable to Upstart Holdings, Inc. Common Stockholders</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Basic net income per common share attributable to Upstart Holdings, Inc.’s common stockholders is based on the weighted-average common shares outstanding during the relevant period. Diluted net income per common share attributable to Upstart Holdings, Inc.’s common stockholders is based on the weighted-average common shares outstanding during the relevant period adjusted for the dilutive effect of share-based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7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Upstart Holdings, Inc. common stockholders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noncumulative dividends to preferred stockholders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Weighted-average common shares outstanding used to calculate net income per share attributable to</w:t>
            </w:r>
          </w:p>
        </w:tc>
        <w:tc>
          <w:tcPr>
            <w:tcW w:w="3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14,625,267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73,629,122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Upstart Holdings, Inc. common stockholders, basic</w:t>
            </w:r>
          </w:p>
        </w:tc>
        <w:tc>
          <w:tcPr>
            <w:tcW w:w="3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Weighted-average effect of dilutive securities</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17,820,449</w:t>
            </w:r>
          </w:p>
        </w:tc>
        <w:tc>
          <w:tcPr>
            <w:tcW w:w="0" w:type="dxa"/>
            <w:vAlign w:val="bottom"/>
          </w:tcPr>
          <w:p>
            <w:pPr>
              <w:spacing w:after="0"/>
              <w:rPr>
                <w:sz w:val="1"/>
                <w:szCs w:val="1"/>
                <w:color w:val="auto"/>
              </w:rPr>
            </w:pPr>
          </w:p>
        </w:tc>
      </w:tr>
      <w:tr>
        <w:trPr>
          <w:trHeight w:val="155"/>
        </w:trPr>
        <w:tc>
          <w:tcPr>
            <w:tcW w:w="7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Weighted-average common shares outstanding used to calculate net income per share attributable to</w:t>
            </w:r>
          </w:p>
        </w:tc>
        <w:tc>
          <w:tcPr>
            <w:tcW w:w="34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14,625,267</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91,449,571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Upstart Holdings, Inc. common stockholders, diluted</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Upstart Holdings, Inc. common stockholders, 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Upstart Holdings, Inc. common stockholders,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340" w:type="dxa"/>
            <w:vAlign w:val="bottom"/>
          </w:tcPr>
          <w:p>
            <w:pPr>
              <w:jc w:val="right"/>
              <w:ind w:right="130"/>
              <w:spacing w:after="0" w:line="204"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0" w:type="dxa"/>
            <w:vAlign w:val="bottom"/>
          </w:tcPr>
          <w:p>
            <w:pPr>
              <w:jc w:val="right"/>
              <w:ind w:right="190"/>
              <w:spacing w:after="0" w:line="204"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securities were excluded from the computation of diluted net income per share attributable to Upstart Holdings, Inc. common stockholders for the periods presented, because including them would have been anti-dilutive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18,087,958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617,424</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737,682</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Warrants to purchase convertible preferred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600,208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319,669</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66,357,412</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1,355,106</w:t>
            </w:r>
          </w:p>
        </w:tc>
      </w:tr>
      <w:tr>
        <w:trPr>
          <w:trHeight w:val="21"/>
        </w:trPr>
        <w:tc>
          <w:tcPr>
            <w:tcW w:w="76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evaluated the impact of events that have occurred subsequent to March 31, 2021, through May 14, 2021, the date which the condensed consolidated financial statements were available to be issued. Based on the evaluation, the Company has determined no subsequent events were required to be recognized or disclosed except the matters described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Prodigy Software, Inc. Acquisition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8, 2021, the Company completed its acquisition of Prodigy Software, Inc. (“Prodigy”). Prodigy provides an e-commerce platform for car dealerships which enables both online and in-store vehicle discovery, credit application, and checkout. The Company has acquired Prodigy with the intention of integrating its lending business with Prodigy’s auto-sales platform and expanding its auto lending footprint.</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consideration the Company paid for Prodigy was approximately $98.8 million and consisted of cash and shares of the Company’s common stock. On the closing date, the Company paid $18.0 million in cash and issued 650,767 shares of common stock.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proximity of the acquisition date to the Company’s filing of its quarterly report on Form 10-Q for the quarter ended March 31, 2021, the initial accounting for the Prodigy business combination is underway, and therefore the Company has not yet disclosed certain information required by ASC 805, Business Combinations, including the provisional amounts recognized as of the acquisition date for each major class of assets acquired, liabilities assumed, and goodwill.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13, 2021, the Company completed a follow-on offering, in which 2,000,000 shares of common stock, and the underwriters exercise to purchase 300,000 shares, were issued and sold at $120.00 per share. The Company received net proceeds of $263.9 million after deducting underwriting discounts of $11.0 million and offering expenses of $1.0 million. Offering expense consist of incremental accounting, legal, and other fees incurred related to the follow-on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banks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In the three months ended March 31, 2021, approximately 17% of Upstart-powered loans were retained by the originating bank, while about 81% of Upstart-powered loans were purchased by institutional investors through our loan funding programs. Over the last few years, the percentage of loans funded through our balance sheet has generally decreased, while the percentage of loans purchased by institutional investors and loans retained by bank partners has generally increased.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Economic Model</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Upstart’s revenues are primarily earned in the form of three separate usage-based fees, which can be either dollar or percentage based depending on the contractual arrangement. We charge our bank partners a referral fee each time we refer a borrower who obtains a loan. Separately, we charge bank partners a platform fee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also charge the holder of the loan (either a bank or institutional investor) an ongoing annualized servicing fee based on the outstanding principal over the lifetime of the loan for ongoing servicing of the loan. In addition, we earn a small portion of our revenue from interest income and our securitization activities.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on our platform today are predominantly sourced from Upstart.com. For these loans, we incur variable costs in the form of borrower acquisition costs and borrower verification and servicing costs.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 costs and borrower verification and servicing costs are highly correlated with the Transaction Volume, Number of Loans on our platform and trended upwards. We source a small number of loans directly through bank partners in which we receive no referral fee and incur no acquisition cost. The rising level of automation and continued improvements to our Conversion Rate achieved through our increasingly sophisticated risk models and our evolving channel mix contribute to improving loan unit economics over time. We further believe that bank-sourced loans can be an important driver of volume growth in the medium-term future; to the extent we are able to increase the number of loans sourced directly through our bank partners, our contribution margin would be positively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onset of the COVID-19 pandemic began to impact origination volumes on our platform in the second half of March 2020. A rapid rise in unemployment in the United States led to the potential for increased losses for new originations underwritten by our AI models, reduction in originations by bank partners, and a temporary pause in loan funding from institutions and capital markets. These factors collectively resulted in an 86% reduction in the number of loans originated and a 73% reduction in revenue in the second quarter of 2020 compared to the first quarter of 2020.</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response to the market conditions caused by the COVID-19 pandemic, we made certain operational changes, including temporary reductions in our marketing activities and certain operational expenses. We continue to evaluate market and other conditions and may make additional changes to our fees or marketing activities, or implement additional operational changes, in the future.</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Origination volumes recovered quickly, beginning in June 2020, as unemployment plateaued. For the quarter ended March 31, 2021, the Transaction Volume, Number of Loans was 169,750, representing a 102% increase compared to the Transaction Volume, Number of Loans in the quarter ended March 31, 2020.</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support borrowers suffering from income loss due to the pandemic, Upstart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 Since this time, approximately 95% of these impacted borrowers have exited the hardship program and resumed making loan payments. Due to the strength of our AI model, we expect that the COVID-19 pandemic will have minimal impact on bank partners and institutional investor performance for Upstart-powered loans originated prior to the second quarter of 2020.</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Improvements to Our AI Models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Beyond the ongoing accumulation of repayment data used to train our models, we also frequently make discrete improvements to model accuracy by upgrading algorithms and incorporating new variables, both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and Market Adoption</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Banks play two key roles in Upstart’s ecosystem: funding loans and acquiring new customers.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Expansion and Innovation</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intend to continue developing new financial products that address a broader set of consumer needs over time. In the third quarter of 2020, we announced our entry into the auto lending market and we more recently acquired Prodigy Software, Inc, which creates software solutions for auto dealers. We believe that significant growth opportunities exist to apply our evolving technology to additional segments of credit, such as credit cards, mortgages, student loans, point-of-sale loans, and HELOCs. In addition, we aim to serve a broader role of technology enablement for banks, which we believe will seek more comprehensive technology solutions from their suppliers. For example, in the second quarter of 2020, we began offering an application programming interface product to banks that allows them to utilize our AI underwriting models to support their loan origination process for personal, auto, and student loans. We will incur expenses and opportunity cost to develop and launch new products. Monetization prospects for new products are uncertain, and costs associated with developing and marketing new products might not be recovered, which could weigh on our top-line growth and profitability.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Cycles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Economic cycles can impact our financial performance and related metrics, including consumer demand for loans, conversion rates and the interest rates our bank partners and institutional investors 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future macroeconomic cycles relative to general consumer credit, it could strengthen our competitive positioning as we emerge from such downturns.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Non-GAAP Financial Metrics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focus on several key operating and Non-GAAP financial metrics to measure the performance of our business and help determine strategic direction.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7"/>
        </w:trPr>
        <w:tc>
          <w:tcPr>
            <w:tcW w:w="7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Volume, Dollars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1,122,565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1,728,677</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Transaction Volume, Number of Loans</w:t>
            </w:r>
          </w:p>
        </w:tc>
        <w:tc>
          <w:tcPr>
            <w:tcW w:w="3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84,214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169,750</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Rate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Percentage of Loans Fully Automated</w:t>
            </w:r>
          </w:p>
        </w:tc>
        <w:tc>
          <w:tcPr>
            <w:tcW w:w="3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Contribution Profit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55,786</w:t>
            </w:r>
          </w:p>
        </w:tc>
      </w:tr>
      <w:tr>
        <w:trPr>
          <w:trHeight w:val="230"/>
        </w:trPr>
        <w:tc>
          <w:tcPr>
            <w:tcW w:w="7680" w:type="dxa"/>
            <w:vAlign w:val="bottom"/>
          </w:tcPr>
          <w:p>
            <w:pPr>
              <w:ind w:left="240"/>
              <w:spacing w:after="0" w:line="230"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20,999</w:t>
            </w:r>
          </w:p>
        </w:tc>
      </w:tr>
      <w:tr>
        <w:trPr>
          <w:trHeight w:val="230"/>
        </w:trPr>
        <w:tc>
          <w:tcPr>
            <w:tcW w:w="7680" w:type="dxa"/>
            <w:vAlign w:val="bottom"/>
          </w:tcPr>
          <w:p>
            <w:pPr>
              <w:ind w:left="240"/>
              <w:spacing w:after="0" w:line="230" w:lineRule="exact"/>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19,944</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Adjusted Net Income per Share</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r>
      <w:tr>
        <w:trPr>
          <w:trHeight w:val="304"/>
        </w:trPr>
        <w:tc>
          <w:tcPr>
            <w:tcW w:w="7680" w:type="dxa"/>
            <w:vAlign w:val="bottom"/>
          </w:tcPr>
          <w:p>
            <w:pPr>
              <w:ind w:left="240"/>
              <w:spacing w:after="0"/>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0.22</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3" w:lineRule="exact"/>
        <w:rPr>
          <w:sz w:val="20"/>
          <w:szCs w:val="20"/>
          <w:color w:val="auto"/>
        </w:rPr>
      </w:pPr>
    </w:p>
    <w:p>
      <w:pPr>
        <w:ind w:left="500" w:hanging="492"/>
        <w:spacing w:after="0" w:line="255" w:lineRule="auto"/>
        <w:tabs>
          <w:tab w:leader="none" w:pos="49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 Financial Measures</w:t>
      </w:r>
      <w:r>
        <w:rPr>
          <w:rFonts w:ascii="Arial" w:cs="Arial" w:eastAsia="Arial" w:hAnsi="Arial"/>
          <w:sz w:val="14"/>
          <w:szCs w:val="14"/>
          <w:color w:val="auto"/>
        </w:rPr>
        <w:t>” for further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Volume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bank during the period presented. We define Transaction Volume, Number of Loans as the number of loans facilitated on our platform between a borrower and the originating bank during the period presented. We believe these metrics is are a good proxies for our overall scale and reach as a platform.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Rate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define Conversion Rate as the Transaction Volume, Number of Loans in a period divided by the number of rate inquiries received,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Loans Fully Automated</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origination process on our platform. We expect the Percentage of Loans Fully Automated to level off and remain relatively constant in the long term, and to the extent we expand our loan offerings beyond unsecured personal loans, we expect that such percentage may decrease in the short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660"/>
              <w:spacing w:after="0"/>
              <w:rPr>
                <w:sz w:val="20"/>
                <w:szCs w:val="20"/>
                <w:color w:val="auto"/>
              </w:rPr>
            </w:pPr>
            <w:r>
              <w:rPr>
                <w:rFonts w:ascii="Arial" w:cs="Arial" w:eastAsia="Arial" w:hAnsi="Arial"/>
                <w:sz w:val="18"/>
                <w:szCs w:val="18"/>
                <w:color w:val="auto"/>
                <w:w w:val="96"/>
              </w:rPr>
              <w:t>The following table provides a calculation of Contribution Profit and Contribution Margin:</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99"/>
        </w:trPr>
        <w:tc>
          <w:tcPr>
            <w:tcW w:w="7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7"/>
        </w:trPr>
        <w:tc>
          <w:tcPr>
            <w:tcW w:w="7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Referral fees, net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73,753</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Platform fees, net</w:t>
            </w:r>
          </w:p>
        </w:tc>
        <w:tc>
          <w:tcPr>
            <w:tcW w:w="3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22,011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33,200</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net</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9,217</w:t>
            </w:r>
          </w:p>
        </w:tc>
      </w:tr>
      <w:tr>
        <w:trPr>
          <w:trHeight w:val="223"/>
        </w:trPr>
        <w:tc>
          <w:tcPr>
            <w:tcW w:w="7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Revenue from fees, net</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68,013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116,170</w:t>
            </w:r>
          </w:p>
        </w:tc>
      </w:tr>
      <w:tr>
        <w:trPr>
          <w:trHeight w:val="223"/>
        </w:trPr>
        <w:tc>
          <w:tcPr>
            <w:tcW w:w="7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Borrower acquisition costs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(34,703)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(46,122)</w:t>
            </w:r>
          </w:p>
        </w:tc>
      </w:tr>
      <w:tr>
        <w:trPr>
          <w:trHeight w:val="229"/>
        </w:trPr>
        <w:tc>
          <w:tcPr>
            <w:tcW w:w="7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Borrower verification and servicing costs</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(14,262)</w:t>
            </w:r>
          </w:p>
        </w:tc>
      </w:tr>
      <w:tr>
        <w:trPr>
          <w:trHeight w:val="223"/>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direct expenses</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(42,353)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(60,384)</w:t>
            </w:r>
          </w:p>
        </w:tc>
      </w:tr>
      <w:tr>
        <w:trPr>
          <w:trHeight w:val="223"/>
        </w:trPr>
        <w:tc>
          <w:tcPr>
            <w:tcW w:w="7460" w:type="dxa"/>
            <w:vAlign w:val="bottom"/>
          </w:tcPr>
          <w:p>
            <w:pPr>
              <w:ind w:left="160"/>
              <w:spacing w:after="0"/>
              <w:rPr>
                <w:sz w:val="20"/>
                <w:szCs w:val="20"/>
                <w:color w:val="auto"/>
              </w:rPr>
            </w:pPr>
            <w:r>
              <w:rPr>
                <w:rFonts w:ascii="Arial" w:cs="Arial" w:eastAsia="Arial" w:hAnsi="Arial"/>
                <w:sz w:val="18"/>
                <w:szCs w:val="18"/>
                <w:color w:val="auto"/>
              </w:rPr>
              <w:t>Contribution Profit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25,660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55,786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Contribution Margin</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304"/>
        </w:trPr>
        <w:tc>
          <w:tcPr>
            <w:tcW w:w="7460" w:type="dxa"/>
            <w:vAlign w:val="bottom"/>
          </w:tcPr>
          <w:p>
            <w:pPr>
              <w:spacing w:after="0"/>
              <w:rPr>
                <w:sz w:val="20"/>
                <w:szCs w:val="20"/>
                <w:color w:val="auto"/>
              </w:rPr>
            </w:pPr>
            <w:r>
              <w:rPr>
                <w:rFonts w:ascii="Arial" w:cs="Arial" w:eastAsia="Arial" w:hAnsi="Arial"/>
                <w:sz w:val="18"/>
                <w:szCs w:val="18"/>
                <w:color w:val="auto"/>
              </w:rPr>
              <w:t>_______</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ind w:left="500" w:hanging="492"/>
        <w:spacing w:after="0" w:line="241"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500" w:hanging="492"/>
        <w:spacing w:after="0" w:line="248"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Management’s Discussion and Analysis of Financial Condition and Results of Operations—Reconciliation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income from operations to Contribution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calculate Adjusted EBITDA as net income attributable to Upstart Holdings, Inc. stockholders adjusted to exclude stock-based compensation expense, depreciation and amortization, income (expense) on warrants and other non-operating expenses, net, provision for income taxes and acquisition-related costs. We calculate Adjusted EBITDA Margin as Adjusted EBITDA divided by total revenue. Adjusted EBITDA and Adjusted EBITDA Margin includes interest expense from corporate debt and warehouse credit facility which is incurred in the course of earning corresponding interest income. See the section titled “</w:t>
      </w:r>
      <w:r>
        <w:rPr>
          <w:rFonts w:ascii="Arial" w:cs="Arial" w:eastAsia="Arial" w:hAnsi="Arial"/>
          <w:sz w:val="16"/>
          <w:szCs w:val="16"/>
          <w:i w:val="1"/>
          <w:iCs w:val="1"/>
          <w:color w:val="auto"/>
        </w:rPr>
        <w:t>Management’s Discussion and Analysis of Financial Condition and Results of Operations—Reconciliation of Non-GAAP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Measures</w:t>
      </w:r>
      <w:r>
        <w:rPr>
          <w:rFonts w:ascii="Arial" w:cs="Arial" w:eastAsia="Arial" w:hAnsi="Arial"/>
          <w:sz w:val="16"/>
          <w:szCs w:val="16"/>
          <w:color w:val="auto"/>
        </w:rPr>
        <w:t>” for a reconciliation of net loss attributable to Upstart Holdings, Inc. common stockholders to Adjusted EBITDA and Adjusted EBITDA Margin.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define Adjusted Net Income as net income exclusive of stock-based compensation expense and acquisition-related costs. Adjusted Net Income Per Share is calculated by dividing Adjusted Net Income Per Share by the weighted-average common shares outstanding. See the section titled “</w:t>
      </w:r>
      <w:r>
        <w:rPr>
          <w:rFonts w:ascii="Arial" w:cs="Arial" w:eastAsia="Arial" w:hAnsi="Arial"/>
          <w:sz w:val="16"/>
          <w:szCs w:val="16"/>
          <w:i w:val="1"/>
          <w:iCs w:val="1"/>
          <w:color w:val="auto"/>
        </w:rPr>
        <w:t>Management’s Discussion and Analysis of Financial Condition and Results of Operations—Reconciliation of Non-GAAP Financial Measures</w:t>
      </w:r>
      <w:r>
        <w:rPr>
          <w:rFonts w:ascii="Arial" w:cs="Arial" w:eastAsia="Arial" w:hAnsi="Arial"/>
          <w:sz w:val="16"/>
          <w:szCs w:val="16"/>
          <w:color w:val="auto"/>
        </w:rPr>
        <w:t>” for a reconciliation of net income attributable to Upstart Holdings, Inc. common stockholders to Adjusted Net Income and Adjusted Net Income per Share.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 partners that use our loan funding capabilities,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consolidated financial statements in Part I, Item 1 of this Form 10-Q for more information about loan premium fees and trailing fees.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Servicing Fees, Net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loan-servicer for substantially all outstanding loans facilitated through the Upstart platform.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common stock warrant liabilities, and convertible preferred stock warrant liabilities. Interest income and fair value adjustments, net also includes the full amount of net interest income and expense incurred by consolidated variable interest entities, or VIEs, the majority of which has been historically allocated to third parties in the line item net loss attributable to noncontrolling interests on our consolidated statements of operations and comprehensive income. Interest income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Operations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Transaction Volume, Number of Loans.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Product Development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Administrative and Other</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 Following the completion of our initial public offering in December 2020, we expect to incur additional general, administrative and other expenses as a result of operating as a public company, including expenses related to compliance with the rules and regulations of the SEC, additional insurance expenses, investor relations activities and other administrative and professional services. We also expect to increase the size of our general and administrative function to support the growth of our business. As a result, we expect that our general, administrative and other expenses will increase in absolute dollars but may fluctuate as a percentage of our total revenue from period to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Other income (expense) primarily consists of dividend income earned on our unrestricted cash balances. Other income (expense) is recognized in the period earned. During the three months ended March 31, 2021, other income (expense) also included the repayment of approximately $5.3 million from a forgivable loan under the Paycheck Protection Program. For additional details, refer to </w:t>
      </w:r>
      <w:r>
        <w:rPr>
          <w:rFonts w:ascii="Arial" w:cs="Arial" w:eastAsia="Arial" w:hAnsi="Arial"/>
          <w:sz w:val="18"/>
          <w:szCs w:val="18"/>
          <w:i w:val="1"/>
          <w:iCs w:val="1"/>
          <w:color w:val="auto"/>
        </w:rPr>
        <w:t>“Note 1. Description of Business and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of our consolidated financial statements in Part I, Item 1 of this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(Expense) on Warrants and Other Non-Operating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Income (expense) on warrants and other non-operating expenses is primarily comprised of the net changes in the fair value of our common and convertible preferred stock warrant liabilities for the three months ended March 31, 2020 and interest expense for the three months ended March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7420" w:type="dxa"/>
            <w:vAlign w:val="bottom"/>
          </w:tcPr>
          <w:p>
            <w:pPr>
              <w:ind w:left="4540"/>
              <w:spacing w:after="0"/>
              <w:rPr>
                <w:sz w:val="20"/>
                <w:szCs w:val="20"/>
                <w:color w:val="auto"/>
              </w:rPr>
            </w:pPr>
            <w:r>
              <w:rPr>
                <w:rFonts w:ascii="Arial" w:cs="Arial" w:eastAsia="Arial" w:hAnsi="Arial"/>
                <w:sz w:val="18"/>
                <w:szCs w:val="18"/>
                <w:b w:val="1"/>
                <w:bCs w:val="1"/>
                <w:color w:val="auto"/>
              </w:rPr>
              <w:t>Results of Operations</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w w:val="98"/>
              </w:rPr>
              <w:t>The following table summarizes our historical consolidated statements of operations data:</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35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Revenue from fees, net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68,013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116,170</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and fair value adjustments, net</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63,994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121,345</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420" w:type="dxa"/>
            <w:vAlign w:val="bottom"/>
          </w:tcPr>
          <w:p>
            <w:pPr>
              <w:ind w:left="10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35,952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49,376</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742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Customer operations</w:t>
            </w:r>
            <w:r>
              <w:rPr>
                <w:rFonts w:ascii="Arial" w:cs="Arial" w:eastAsia="Arial" w:hAnsi="Arial"/>
                <w:sz w:val="23"/>
                <w:szCs w:val="23"/>
                <w:color w:val="auto"/>
                <w:vertAlign w:val="superscript"/>
              </w:rPr>
              <w:t>(1)</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420" w:type="dxa"/>
            <w:vAlign w:val="bottom"/>
          </w:tcPr>
          <w:p>
            <w:pPr>
              <w:ind w:left="100"/>
              <w:spacing w:after="0" w:line="230" w:lineRule="exact"/>
              <w:rPr>
                <w:sz w:val="20"/>
                <w:szCs w:val="20"/>
                <w:color w:val="auto"/>
              </w:rPr>
            </w:pPr>
            <w:r>
              <w:rPr>
                <w:rFonts w:ascii="Arial" w:cs="Arial" w:eastAsia="Arial" w:hAnsi="Arial"/>
                <w:sz w:val="18"/>
                <w:szCs w:val="18"/>
                <w:color w:val="auto"/>
              </w:rPr>
              <w:t>Engineering and product development</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742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General, administrative, and other</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63,441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105,771</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(expense) on warrants and other non-operating expenses, net</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Net income before income taxes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Net income before attribution to noncontrolling interests</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Upstart Holdings, Inc. common stockholders</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________</w:t>
            </w: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7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7420" w:type="dxa"/>
            <w:vAlign w:val="bottom"/>
          </w:tcPr>
          <w:p>
            <w:pPr>
              <w:ind w:left="220"/>
              <w:spacing w:after="0"/>
              <w:rPr>
                <w:sz w:val="20"/>
                <w:szCs w:val="20"/>
                <w:color w:val="auto"/>
              </w:rPr>
            </w:pPr>
            <w:r>
              <w:rPr>
                <w:rFonts w:ascii="Arial" w:cs="Arial" w:eastAsia="Arial" w:hAnsi="Arial"/>
                <w:sz w:val="14"/>
                <w:szCs w:val="14"/>
                <w:color w:val="auto"/>
              </w:rPr>
              <w:t>Includes stock-based compensation expense as follows:</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6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35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Customer operations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76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General, administrative, and other</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 forth our revenue from fees, net in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Platform and referral fees, net</w:t>
            </w: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60,230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7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fees, net</w:t>
            </w:r>
          </w:p>
        </w:tc>
        <w:tc>
          <w:tcPr>
            <w:tcW w:w="10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r>
      <w:tr>
        <w:trPr>
          <w:trHeight w:val="248"/>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 from fees,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116,170</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from fees, net increased $48.2 million, or 71%, in the three months ended March 31, 2021, compared to the same period in 2020, which included an increase of $46.7 million in revenue from platform and referral fees, net and an increase of $1.4 million in servicing fees, net. The increase of the platform and referral fees, net was primarily driven by a 102% increase in the Transaction Volume, Number of Loans from 84,214 in the three months ended March 31, 2020 to 169,750 in the same period in 2021 as well as an increase in prices of our services in response to the market conditions caused by the COVID-19 pandemic. The increase in the servicing fees, net was primarily due to an 54% increase in the outstanding principal of serviced loans, as well as a downward revaluation to the net liability of our servicing obligation.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3"/>
        </w:trPr>
        <w:tc>
          <w:tcPr>
            <w:tcW w:w="4540" w:type="dxa"/>
            <w:vAlign w:val="bottom"/>
          </w:tcPr>
          <w:p>
            <w:pPr>
              <w:spacing w:after="0"/>
              <w:rPr>
                <w:sz w:val="24"/>
                <w:szCs w:val="24"/>
                <w:color w:val="auto"/>
              </w:rPr>
            </w:pPr>
          </w:p>
        </w:tc>
        <w:tc>
          <w:tcPr>
            <w:tcW w:w="35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454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entities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45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5,325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3,057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540" w:type="dxa"/>
            <w:vAlign w:val="bottom"/>
          </w:tcPr>
          <w:p>
            <w:pPr>
              <w:ind w:left="160"/>
              <w:spacing w:after="0"/>
              <w:rPr>
                <w:sz w:val="20"/>
                <w:szCs w:val="20"/>
                <w:color w:val="auto"/>
              </w:rPr>
            </w:pPr>
            <w:r>
              <w:rPr>
                <w:rFonts w:ascii="Arial" w:cs="Arial" w:eastAsia="Arial" w:hAnsi="Arial"/>
                <w:sz w:val="18"/>
                <w:szCs w:val="18"/>
                <w:color w:val="auto"/>
              </w:rPr>
              <w:t>Fair value adjustments, net</w:t>
            </w:r>
          </w:p>
        </w:tc>
        <w:tc>
          <w:tcPr>
            <w:tcW w:w="1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(4,423)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30"/>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consolidated entities</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5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3,858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4540" w:type="dxa"/>
            <w:vAlign w:val="bottom"/>
          </w:tcPr>
          <w:p>
            <w:pPr>
              <w:ind w:left="160"/>
              <w:spacing w:after="0"/>
              <w:rPr>
                <w:sz w:val="20"/>
                <w:szCs w:val="20"/>
                <w:color w:val="auto"/>
              </w:rPr>
            </w:pPr>
            <w:r>
              <w:rPr>
                <w:rFonts w:ascii="Arial" w:cs="Arial" w:eastAsia="Arial" w:hAnsi="Arial"/>
                <w:sz w:val="18"/>
                <w:szCs w:val="18"/>
                <w:color w:val="auto"/>
              </w:rPr>
              <w:t>Fair value adjustments, net</w:t>
            </w:r>
          </w:p>
        </w:tc>
        <w:tc>
          <w:tcPr>
            <w:tcW w:w="1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(5,524)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5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9,183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4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Fair value adjustments, net</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(9,947)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128 %</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 of balances recognized by entities participating in ongoing operating activities of the Company, including warehouse entities.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balances recognized by other entities, including securitization entities.</w:t>
      </w:r>
    </w:p>
    <w:p>
      <w:pPr>
        <w:spacing w:after="0" w:line="2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Interest income and fair value adjustments, net increased $9.2 million, or 229%, in the three months ended March 31, 2021, compared to the same period in 2020. The increase was driven by a $12.7 million increase in fair value adjustments, net and a $2.2 million decrease in interest expense, partially offset by a decline in interest income and interest expense, of $5.8 million. The increase of the fair value adjustments was primarily attributable to a reversal of negative fair value adjustments recognized largely due to market changes as a result of the COVID-19 pandemic in the first quarter of 2020 by both operating and other consolidating entities. Interest income and interest expense recognized by other consolidated entities decreased due to the deconsolidation of the 2018-1 securitization which occurred in the second quarter of 2020. Finally, our operating entities held a smaller loan portfolio in the first quarter of 2021, which resulted in decreases of both interest income and interest expense associated with borrowings under the credit facility. The deconsolidation of the 2018-1 securitization was a result of the expiration of the related risk retention requirements, which caused us to conclude that we are no longer the primary beneficiary. For additional details, refer to “</w:t>
      </w:r>
      <w:r>
        <w:rPr>
          <w:rFonts w:ascii="Arial" w:cs="Arial" w:eastAsia="Arial" w:hAnsi="Arial"/>
          <w:sz w:val="17"/>
          <w:szCs w:val="17"/>
          <w:i w:val="1"/>
          <w:iCs w:val="1"/>
          <w:color w:val="auto"/>
        </w:rPr>
        <w:t>Note 3. Securitizations and Variable Interest Entities</w:t>
      </w:r>
      <w:r>
        <w:rPr>
          <w:rFonts w:ascii="Arial" w:cs="Arial" w:eastAsia="Arial" w:hAnsi="Arial"/>
          <w:sz w:val="17"/>
          <w:szCs w:val="17"/>
          <w:color w:val="auto"/>
        </w:rPr>
        <w:t>” of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3"/>
        </w:trPr>
        <w:tc>
          <w:tcPr>
            <w:tcW w:w="4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37%</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$13.4 million, or 37%, in the three months ended March 31, 2021 compared to the same period in 2020. The increase was primarily due to a $11.4 million increase in advertising and other traffic acquisition cost, as well as $1.6 million increase in payroll and other personnel-related expenses driven by increased headcount. As a percentage of total revenue, sales and marketing expenses decreased from 56% to 41%.</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Customer Operations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9"/>
        </w:trPr>
        <w:tc>
          <w:tcPr>
            <w:tcW w:w="4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operations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18"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Customer operations expenses increased by $8.6 million, or 97%, in the three months ended March 31, 2021, compared to the same period in 2020. The increase was primarily due to an increase of $5.3 million in payroll and other personnel-related expenses due to an increase in headcount as well as increased spending of $2.5 million in information verification and platform operations due to a growing volume of loans facilitated through our platform. As a percentage of total revenue, customer operations expenses remained flat at 14% for both periods.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Engineering and Product Development</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9"/>
        </w:trPr>
        <w:tc>
          <w:tcPr>
            <w:tcW w:w="4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171%</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Engineering and product development expenses increased by $12.0 million, or 171%, three months ended March 31, 2021, compared to the same period in 2020. The increase was primarily due to an increase of $11.0 million in payroll and other personnel-related expenses driven by an increase in headcount, as well as a $0.9 million increase in spending on consultants and other engineering support services. As a percentage of total revenue, engineering and product development expenses increased from 11% to 16%.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General, Administrative, and Other</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6"/>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4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63"/>
        </w:trPr>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administrative, and other expenses increased by $8.4 million, or 72%, in the three months ended March 31, 2021, compared to the same period in 2020. The increase was primarily due to an increase of $4.2 million in personnel-related costs as a result of increased headcount; an increase of $1.7 million in insurance costs; and an increase of $1.2 million in legal and compliance-related expenses. As a percentage of total revenue, general, administrative, and other expenses decreased from 18% to 16%.</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6"/>
        </w:trPr>
        <w:tc>
          <w:tcPr>
            <w:tcW w:w="4560" w:type="dxa"/>
            <w:vAlign w:val="bottom"/>
          </w:tcPr>
          <w:p>
            <w:pPr>
              <w:spacing w:after="0"/>
              <w:rPr>
                <w:sz w:val="24"/>
                <w:szCs w:val="24"/>
                <w:color w:val="auto"/>
              </w:rPr>
            </w:pPr>
          </w:p>
        </w:tc>
        <w:tc>
          <w:tcPr>
            <w:tcW w:w="358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63"/>
        </w:trPr>
        <w:tc>
          <w:tcPr>
            <w:tcW w:w="456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r>
    </w:tbl>
    <w:p>
      <w:pPr>
        <w:spacing w:after="0" w:line="3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income (expense) decreased by $5.4 million, or 3589%, in the three months ended March 31, 2021, compared to the same period in 2020. The decrease was primarily due to our voluntary repayment of proceeds received from the PPP loan. We used the loan to mitigate the impact of the COVID-19 pandemic on our business in Q2 2020 and fully complied with the forgiveness requirements, including maintaining full employment through the significant transaction volume decline. Our business experienced a strong recovery later in 2020 and continued growing in the most recent quarter, which brought us to a conclusion that the funds received as part of the program were no longer needed for their original intent and should be repaid. We recognized the loan principal repayment as a reduction to other income (expense) totaling $5.3 million.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Income (Expense) on Warrants and Other Non-operating Expenses, Net</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1520" w:type="dxa"/>
            <w:vAlign w:val="bottom"/>
            <w:gridSpan w:val="2"/>
          </w:tcPr>
          <w:p>
            <w:pPr>
              <w:ind w:left="340"/>
              <w:spacing w:after="0"/>
              <w:rPr>
                <w:sz w:val="20"/>
                <w:szCs w:val="20"/>
                <w:color w:val="auto"/>
              </w:rPr>
            </w:pPr>
            <w:r>
              <w:rPr>
                <w:rFonts w:ascii="Arial" w:cs="Arial" w:eastAsia="Arial" w:hAnsi="Arial"/>
                <w:sz w:val="18"/>
                <w:szCs w:val="18"/>
                <w:b w:val="1"/>
                <w:bCs w:val="1"/>
                <w:color w:val="auto"/>
              </w:rPr>
              <w:t>$ Change</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56"/>
        </w:trPr>
        <w:tc>
          <w:tcPr>
            <w:tcW w:w="45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(expense) on warrants and other non-operating</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net</w:t>
            </w:r>
          </w:p>
        </w:tc>
        <w:tc>
          <w:tcPr>
            <w:tcW w:w="30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(expense) on warrants and other non-operating expenses, net decreased by $0.3 million, or 94%, in the three months ended March 31, 2021, compared to the same period in 2020. The decrease was primarily a result of a $0.3 million increase in the fair value of warrants in the three months ended March 31, 2020. Our warrants were reclassified to equity in the fourth quarter of 2020 and exercised in January 2021. We had no warrants outstanding as of March 31, 2021.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supplement our consolidated financial statements prepared and presented in accordance with GAAP, we use the non-GAAP financial measures Contribution Profit, Contribution Margin, Adjusted EBITDA, Adjusted EBITDA Margin, and Adjusted Net Income and Adjusted Net Income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address these limitations, we provide a reconciliation of Contribution Profit, Contribution Margin, Adjusted EBITDA, Adjusted EBITDA Margin, and Adjusted Net Income and Adjusted Net Income Per Share to loss from operations and net loss attributable to Upstart Holdings, Inc. common stockholders, respectively. We encourage investors and others to review our financial information in its entirety, not to rely on any single financial measure and to view Contribution Profit, Contribution Margin, Adjusted EBITDA, Adjusted EBITDA Margin,</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 and Adjusted Net Income Per Share in conjunction with their respective related 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Contribution Profit and Contribution Margin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is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Contribution Profit and Contribution Margin have limitations as an analytical tool, and you should not consider in isolation or as a substitute for analysis of our results as reported under GAAP. Contribution Profit and Contribution Margin are not a GAAP financial measure of, nor does it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does not reflect all of our variable expenses and involves some judgment and discretion around what costs vary directly with loan volume. Other companies that present Contribution Profit and Contribution Margin calculate it differently and, therefore, similarly titled measures presented by other companies may not be directly comparable to ours.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presents a reconciliation of income from operations to Contribution Profit and Contribution Margin. We define Operating Margin as our income from operations divided by revenue from fees,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378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68,013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116,170</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1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Operating Margin</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line="230" w:lineRule="exact"/>
              <w:rPr>
                <w:sz w:val="20"/>
                <w:szCs w:val="20"/>
                <w:color w:val="auto"/>
              </w:rPr>
            </w:pPr>
            <w:r>
              <w:rPr>
                <w:rFonts w:ascii="Arial" w:cs="Arial" w:eastAsia="Arial" w:hAnsi="Arial"/>
                <w:sz w:val="18"/>
                <w:szCs w:val="18"/>
                <w:color w:val="auto"/>
              </w:rPr>
              <w:t>Sales and marketing, net of borrower acquisition costs</w:t>
            </w:r>
            <w:r>
              <w:rPr>
                <w:rFonts w:ascii="Arial" w:cs="Arial" w:eastAsia="Arial" w:hAnsi="Arial"/>
                <w:sz w:val="23"/>
                <w:szCs w:val="23"/>
                <w:color w:val="auto"/>
                <w:vertAlign w:val="superscript"/>
              </w:rPr>
              <w:t>(1)</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Customer operations, net of borrower verification and servicing costs</w:t>
            </w:r>
            <w:r>
              <w:rPr>
                <w:rFonts w:ascii="Arial" w:cs="Arial" w:eastAsia="Arial" w:hAnsi="Arial"/>
                <w:sz w:val="23"/>
                <w:szCs w:val="23"/>
                <w:color w:val="auto"/>
                <w:vertAlign w:val="superscript"/>
              </w:rPr>
              <w:t>(2)</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Engineering and product development</w:t>
            </w:r>
          </w:p>
        </w:tc>
        <w:tc>
          <w:tcPr>
            <w:tcW w:w="11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11,660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20,019</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Contribution Profit</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25,660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55,786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i w:val="1"/>
                <w:iCs w:val="1"/>
                <w:color w:val="auto"/>
              </w:rPr>
              <w:t>Contribution Margin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38 %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line="204"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303"/>
        </w:trPr>
        <w:tc>
          <w:tcPr>
            <w:tcW w:w="7460" w:type="dxa"/>
            <w:vAlign w:val="bottom"/>
          </w:tcPr>
          <w:p>
            <w:pPr>
              <w:spacing w:after="0"/>
              <w:rPr>
                <w:sz w:val="20"/>
                <w:szCs w:val="20"/>
                <w:color w:val="auto"/>
              </w:rPr>
            </w:pPr>
            <w:r>
              <w:rPr>
                <w:rFonts w:ascii="Arial" w:cs="Arial" w:eastAsia="Arial" w:hAnsi="Arial"/>
                <w:sz w:val="18"/>
                <w:szCs w:val="18"/>
                <w:color w:val="auto"/>
              </w:rPr>
              <w:t>_________</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492" w:val="left"/>
        </w:tabs>
        <w:numPr>
          <w:ilvl w:val="0"/>
          <w:numId w:val="27"/>
        </w:numPr>
        <w:rPr>
          <w:rFonts w:ascii="Arial" w:cs="Arial" w:eastAsia="Arial" w:hAnsi="Arial"/>
          <w:sz w:val="14"/>
          <w:szCs w:val="14"/>
          <w:color w:val="auto"/>
        </w:rPr>
      </w:pPr>
      <w:r>
        <w:rPr>
          <w:rFonts w:ascii="Arial" w:cs="Arial" w:eastAsia="Arial" w:hAnsi="Arial"/>
          <w:sz w:val="14"/>
          <w:szCs w:val="14"/>
          <w:color w:val="auto"/>
        </w:rPr>
        <w:t>Borrower acquisition costs were $34.7 million and $46.1 million for the three months ended March 31, 2020 and 2021,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Arial" w:cs="Arial" w:eastAsia="Arial" w:hAnsi="Arial"/>
          <w:sz w:val="14"/>
          <w:szCs w:val="14"/>
          <w:color w:val="auto"/>
        </w:rPr>
      </w:pPr>
    </w:p>
    <w:p>
      <w:pPr>
        <w:jc w:val="both"/>
        <w:ind w:left="500" w:hanging="492"/>
        <w:spacing w:after="0" w:line="246" w:lineRule="auto"/>
        <w:tabs>
          <w:tab w:leader="none" w:pos="492" w:val="left"/>
        </w:tabs>
        <w:numPr>
          <w:ilvl w:val="0"/>
          <w:numId w:val="27"/>
        </w:numPr>
        <w:rPr>
          <w:rFonts w:ascii="Arial" w:cs="Arial" w:eastAsia="Arial" w:hAnsi="Arial"/>
          <w:sz w:val="14"/>
          <w:szCs w:val="14"/>
          <w:color w:val="auto"/>
        </w:rPr>
      </w:pPr>
      <w:r>
        <w:rPr>
          <w:rFonts w:ascii="Arial" w:cs="Arial" w:eastAsia="Arial" w:hAnsi="Arial"/>
          <w:sz w:val="14"/>
          <w:szCs w:val="14"/>
          <w:color w:val="auto"/>
        </w:rPr>
        <w:t>Borrower verification and servicing costs were $7.7 million and $14.3 million for the three months ended March 31, 2020 and 2021,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62" w:lineRule="exact"/>
        <w:rPr>
          <w:sz w:val="20"/>
          <w:szCs w:val="20"/>
          <w:color w:val="auto"/>
        </w:rPr>
      </w:pPr>
    </w:p>
    <w:p>
      <w:pPr>
        <w:jc w:val="both"/>
        <w:ind w:left="980" w:hanging="324"/>
        <w:spacing w:after="0" w:line="248"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73" w:lineRule="exact"/>
        <w:rPr>
          <w:rFonts w:ascii="Arial" w:cs="Arial" w:eastAsia="Arial" w:hAnsi="Arial"/>
          <w:sz w:val="18"/>
          <w:szCs w:val="18"/>
          <w:color w:val="auto"/>
        </w:rPr>
      </w:pPr>
    </w:p>
    <w:p>
      <w:pPr>
        <w:ind w:left="980" w:hanging="324"/>
        <w:spacing w:after="0" w:line="291" w:lineRule="auto"/>
        <w:tabs>
          <w:tab w:leader="none" w:pos="9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Adjusted EBITDA and Adjusted EBITDA Margin eliminates the impact of certain items such as stock-based compensation expense, warrant expense and acquisition-related costs that may obscure trends in the underlying performance of our business; and</w:t>
      </w:r>
    </w:p>
    <w:p>
      <w:pPr>
        <w:spacing w:after="0" w:line="38" w:lineRule="exact"/>
        <w:rPr>
          <w:rFonts w:ascii="Arial" w:cs="Arial" w:eastAsia="Arial" w:hAnsi="Arial"/>
          <w:sz w:val="17"/>
          <w:szCs w:val="17"/>
          <w:color w:val="auto"/>
        </w:rPr>
      </w:pPr>
    </w:p>
    <w:p>
      <w:pPr>
        <w:ind w:left="980" w:hanging="324"/>
        <w:spacing w:after="0" w:line="324"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provides consistency and comparability with our past financial performance, and facilitates comparisons with other companies, many of which use similar non-GAAP financial measures to supplement their GAAP results.</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use of Adjusted EBITDA and Adjusted EBITDA Margin has limitations as an analytical tool, and you should not consider these measures in isolation or as a substitute for analysis of our financial results as reported under GAAP. Some of these limitations are as follows:</w:t>
      </w:r>
    </w:p>
    <w:p>
      <w:pPr>
        <w:spacing w:after="0" w:line="62" w:lineRule="exact"/>
        <w:rPr>
          <w:sz w:val="20"/>
          <w:szCs w:val="20"/>
          <w:color w:val="auto"/>
        </w:rPr>
      </w:pPr>
    </w:p>
    <w:p>
      <w:pPr>
        <w:jc w:val="both"/>
        <w:ind w:left="980" w:hanging="324"/>
        <w:spacing w:after="0" w:line="24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980" w:hanging="324"/>
        <w:spacing w:after="0" w:line="291"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stock-based compensation expense, which has been, and will continue to be for the foreseeable future, a significant recurring expense for our business and an important part of our compensation strategy;</w:t>
      </w:r>
    </w:p>
    <w:p>
      <w:pPr>
        <w:spacing w:after="0" w:line="38" w:lineRule="exact"/>
        <w:rPr>
          <w:rFonts w:ascii="Arial" w:cs="Arial" w:eastAsia="Arial" w:hAnsi="Arial"/>
          <w:sz w:val="17"/>
          <w:szCs w:val="17"/>
          <w:color w:val="auto"/>
        </w:rPr>
      </w:pPr>
    </w:p>
    <w:p>
      <w:pPr>
        <w:jc w:val="both"/>
        <w:ind w:left="980" w:hanging="324"/>
        <w:spacing w:after="0" w:line="24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and Adjusted EBITDA Margin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73"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09" w:lineRule="exact"/>
        <w:rPr>
          <w:sz w:val="20"/>
          <w:szCs w:val="20"/>
          <w:color w:val="auto"/>
        </w:rPr>
      </w:pPr>
    </w:p>
    <w:p>
      <w:pPr>
        <w:jc w:val="both"/>
        <w:ind w:right="20" w:firstLine="567"/>
        <w:spacing w:after="0" w:line="243" w:lineRule="auto"/>
        <w:rPr>
          <w:sz w:val="20"/>
          <w:szCs w:val="20"/>
          <w:color w:val="auto"/>
        </w:rPr>
      </w:pPr>
      <w:r>
        <w:rPr>
          <w:rFonts w:ascii="Arial" w:cs="Arial" w:eastAsia="Arial" w:hAnsi="Arial"/>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income attributable to Upstart Holdings, Inc. common stockholders to Adjusted EBITDA and net income margin to Adjusted EBITDA Margin. We define Net Income Margin as net income attributable to Upstart Holdings, Inc. common stockholders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378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4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63,994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121,345</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Net income attributable to Upstart Holdings, Inc. common stockholders</w:t>
            </w:r>
          </w:p>
        </w:tc>
        <w:tc>
          <w:tcPr>
            <w:tcW w:w="11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10,102</w:t>
            </w:r>
          </w:p>
        </w:tc>
      </w:tr>
      <w:tr>
        <w:trPr>
          <w:trHeight w:val="230"/>
        </w:trPr>
        <w:tc>
          <w:tcPr>
            <w:tcW w:w="74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Income Margin</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8,622</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816</w:t>
            </w:r>
          </w:p>
        </w:tc>
      </w:tr>
      <w:tr>
        <w:trPr>
          <w:trHeight w:val="229"/>
        </w:trPr>
        <w:tc>
          <w:tcPr>
            <w:tcW w:w="7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(expense) on warrants and other non-operating expenses</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221</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1,220</w:t>
            </w:r>
          </w:p>
        </w:tc>
      </w:tr>
      <w:tr>
        <w:trPr>
          <w:trHeight w:val="223"/>
        </w:trPr>
        <w:tc>
          <w:tcPr>
            <w:tcW w:w="74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20,999</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74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Adjusted EBITDA Margin</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304"/>
        </w:trPr>
        <w:tc>
          <w:tcPr>
            <w:tcW w:w="7460" w:type="dxa"/>
            <w:vAlign w:val="bottom"/>
          </w:tcPr>
          <w:p>
            <w:pPr>
              <w:spacing w:after="0"/>
              <w:rPr>
                <w:sz w:val="20"/>
                <w:szCs w:val="20"/>
                <w:color w:val="auto"/>
              </w:rPr>
            </w:pPr>
            <w:r>
              <w:rPr>
                <w:rFonts w:ascii="Arial" w:cs="Arial" w:eastAsia="Arial" w:hAnsi="Arial"/>
                <w:sz w:val="18"/>
                <w:szCs w:val="18"/>
                <w:color w:val="auto"/>
              </w:rPr>
              <w:t>_________</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ind w:left="480" w:hanging="472"/>
        <w:spacing w:after="0"/>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fair value adjustments to our warrant liability for the three months ended March 31, 2020 and interest expense for the three months ended March 31, 2020 and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Share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define Adjusted Net Income as net income exclusive of stock-based compensation expense and acquisition-related costs. Adjusted Net Income Per Share is calculated by dividing Adjusted Net Income Per Share by the weighted-average common shares outstanding. We believe Adjusted Net Income and Adjusted Net Income Per Share are useful measures for investors in evaluating our ability to generate earnings, more readily compare between past and future periods, and provide comparability of our performance with the performance of other companies.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Upstart Holdings, Inc. common stockholders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19,944</w:t>
            </w: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73,629,122</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73,545,518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91,449,571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inception, we have financed our operations, corporate investments, and capital expenditures primarily through the sale of convertible preferred stock, term loans and draws on our revolving credit facilities, and cash generated from operations. We have also periodically issued convertible promissory notes, none of which were outstanding as of March 31, 2021. In December 2020, we completed our IPO which resulted in $167.4 million of proceeds, net of underwriting discounts, and before deducting deferred offering costs of $7.9 million. Deferred offering costs consisted primarily of incremental accounting, legal, and other fees related to the IPO.</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outstanding debt consists of borrowings from term loan agreements, advances on our revolving credit facilities, including our warehouse credit facilities, and amounts borrowed under loan and security agreements to finance risk retention balances for certain unconsolidated securitizations we sponsor. As of March 31, 2021, we had an aggregate principal balance of $41.9 million outstanding, of which $20.5 million is due within the next 12 months. See “</w:t>
      </w:r>
      <w:r>
        <w:rPr>
          <w:rFonts w:ascii="Arial" w:cs="Arial" w:eastAsia="Arial" w:hAnsi="Arial"/>
          <w:sz w:val="18"/>
          <w:szCs w:val="18"/>
          <w:i w:val="1"/>
          <w:iCs w:val="1"/>
          <w:color w:val="auto"/>
        </w:rPr>
        <w:t>Note 7. Borrowings</w:t>
      </w:r>
      <w:r>
        <w:rPr>
          <w:rFonts w:ascii="Arial" w:cs="Arial" w:eastAsia="Arial" w:hAnsi="Arial"/>
          <w:sz w:val="18"/>
          <w:szCs w:val="18"/>
          <w:color w:val="auto"/>
        </w:rPr>
        <w:t>” in Part I, Item 1 of this Form 10-Q for further information.</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March 31, 2021, our primary source of liquidity was cash of $257.0 million. Changes in the balance of cash are generally a result of working capital fluctuations or the timing of purchases of loans facilitated through our platform. To finance purchases of certain loans facilitated through our platform, we rely on our warehouse credit facility, which allows us to borrow up to an aggregate of $100.0 million through the special-purpose trust, or the warehouse trust. Loans purchased by the trust are classified as held-for-sale and can be sold to third-party investors or in securitization transactions to generate additional liquidity. As of March 31, 2021, the amount borrowed under this credit facility was $16.3 million.</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our cash on hand, funds available from our revolving credit facility, amounts borrowed under our term loan,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and our capital expenditures.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cash balances, cash generated by operations, revolving credit facility, term loan and the proceeds from our IPO are insufficient to satisfy our liquidity needs in the future, we may need to raise additional capital through equity or debt financing and may not be able to do so on terms acceptable to us or at all. If we are unable to raise additional capital when needed, our results of operations and financial condition would be materially and adversely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2018, we entered into a mezzanine loan and security agreement with the same lender to obtain a term loan of up to $15.0 million, or the Mezzanine Loan. The Mezzanine Loan bears interest at the greater of prime rate plus 5.25% or 10.00% per annum and matures on October 1, 2021. As of March 31, 2021, the outstanding principal balance of the Mezzanine Loan was $15.0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revolving credit facility has an aggregate credit limit of $5.5 million and as of March 31, 2021, we were fully drawn on such facility. The revolving credit facility expires on June 1, 2021 when the outstanding principal and any accrued and unpaid interest are due and payable in full. Our revolving credit facility bears floating interest rates, payable on a monthly basis, and contains certain financial covenants. Failure to comply with these covenants may result in an acceleration of payment on the outstanding principal and accrued interest. Borrowings under the revolving credit facility are secured by all assets of the company, excluding assets of consolidated securitizations and cash and restricted cash related to other borrowing arrangements. As of December 31, 2020 and March 31, 2021, we were in compliance with the applicable covenants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entered into a warehouse credit facility with a third-party lender through our warehouse trust, which is a consolidated VIE. The warehouse facility is used to fund purchases of personal whole loans originated by certain bank partners on our platform; the assets of the warehouse trust secure the borrowings provided by the warehouse lender and are not available to settle claims of our general creditors. The credit facility, with a borrowing limit of $100.0 million, matures in May 2022 when repayment of any outstanding principal, together with any accrued interest and unpaid interest, is due and payable. As of March 31, 2021, we have borrowed $16.3 million under the warehouse credit facility and may continue to borrow under the warehouse credit facility until May 2021. Our warehouse credit facility bears floating interest rates, payable on a monthly basis, and contain certain financial covenants. Failure to comply with these covenants may result in an acceleration of payment on outstanding principal and accrued interest. As of December 31, 2020 and March 31, 2021, we were in compliance with the applicable covenants under the warehouse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Funding Loans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obtained financing under two loan and security agreements to fund the purchase of securitization notes and residual certificates issued by certain of our consolidated VIEs in our sponsored securitization transactions. These purchases were made in the amounts required to satisfy the requirements of U.S. risk retention regulations. The loans under these agreements bear interest at rates of 4.00% and 4.33% per annum. Interest is paid using cash distributions received monthly on the related securitization notes and residual certificates held by these entities. As of March 31, 2021, the aggregate outstanding principal amount of these loans was $5.1 million. These borrowings are solely obligations of these consolidated VIEs and are not available to satisfy potential claims of our creditors.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5"/>
        </w:trPr>
        <w:tc>
          <w:tcPr>
            <w:tcW w:w="7680" w:type="dxa"/>
            <w:vAlign w:val="bottom"/>
          </w:tcPr>
          <w:p>
            <w:pPr>
              <w:ind w:left="660"/>
              <w:spacing w:after="0"/>
              <w:rPr>
                <w:sz w:val="20"/>
                <w:szCs w:val="20"/>
                <w:color w:val="auto"/>
              </w:rPr>
            </w:pPr>
            <w:r>
              <w:rPr>
                <w:rFonts w:ascii="Arial" w:cs="Arial" w:eastAsia="Arial" w:hAnsi="Arial"/>
                <w:sz w:val="18"/>
                <w:szCs w:val="18"/>
                <w:color w:val="auto"/>
              </w:rPr>
              <w:t>The following table summarizes our cash flows during the years indicated:</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7680" w:type="dxa"/>
            <w:vAlign w:val="bottom"/>
          </w:tcPr>
          <w:p>
            <w:pPr>
              <w:spacing w:after="0"/>
              <w:rPr>
                <w:sz w:val="22"/>
                <w:szCs w:val="22"/>
                <w:color w:val="auto"/>
              </w:rPr>
            </w:pPr>
          </w:p>
        </w:tc>
        <w:tc>
          <w:tcPr>
            <w:tcW w:w="356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7"/>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43,092</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108,741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(30,108)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r>
      <w:tr>
        <w:trPr>
          <w:trHeight w:val="223"/>
        </w:trPr>
        <w:tc>
          <w:tcPr>
            <w:tcW w:w="7680" w:type="dxa"/>
            <w:vAlign w:val="bottom"/>
          </w:tcPr>
          <w:p>
            <w:pPr>
              <w:ind w:left="2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24,733</w:t>
            </w:r>
          </w:p>
        </w:tc>
      </w:tr>
      <w:tr>
        <w:trPr>
          <w:trHeight w:val="20"/>
        </w:trPr>
        <w:tc>
          <w:tcPr>
            <w:tcW w:w="7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sources of cash provided by operating activities are our revenue from fees earned under contracts with bank partners and loan investors and interest income we receive for loans held on our balance sheet.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$43.1 million for the three months ended March 31, 2021, which primarily consisted of a $22.6 million increase in net operating assets and liabilities, net income before attribution to noncontrolling interests of $10.1 million, and stock-based compensation of $8.6 million. The increase in net operating assets and liabilities was mainly related to a $38.1 million increase in net proceeds from loans held-for-sale and 11.0 million increase in payable to investors, partially offset by $18.2 million purchases of loans held-for-sale and $10.1 decrease in other assets.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was $86.5 million for the three months ended March 31, 2020, which primarily consisted of a $100.5 million decrease in net operating assets and liabilities, partially offset by a change in fair value of financial instruments of $12.0 million, and stock-based compensation of 2.0 million. The decrease in</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operating assets and liabilities was mainly related to $97.9 million purchases of loans held-for-sale and $9.2 million decrease in other liabilities, partially offset by $6.8 million net proceeds from sale of loans held-for-sale. The change in fair value of financial instruments was primarily related to a $14.4 million decrease in the fair value of loans and $3.2 million decrease in fair value of notes receivable and residual certificates, partially offset by a $5.6 million decrease in the fair value of payable to securitization note holders and residual certificate 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sources of cash from investing activities are principal repayments received on loans held-for-investment through credit facilities and held by consolidated securitizations, proceeds from the sale of loans and payments on residual certificates held for risk retention purposes in sponsored securitizations.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use of cash for investing activities includes purchases of loans held-for investment, including loans collateralized in consolidated securitizations, as well as purchases of securitization notes and residual certificates to fulfill risk retention requirements in securitizations we have sponsored in the past.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investing activities was $0.9 million for the three months ended March 31, 2021 as a result of $8.3 million of net proceeds from sale of loans held-for-investment and $6.1 million principal payments received for notes receivable and repayments of residual certificates loans held-for-investment, partially offset by $12.9 million purchase of loans held-for-investment.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investing activities was $108.7 million for the three months ended March 31, 2020 as a result of $88.1 million of net proceeds from sale of loans held-for-investment and $15.3 million of payments received for loans held by consolidated securitizations.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main sources of cash from financing activities include proceeds from issuance of securitization notes and residual certificates from consolidated securitizations, proceeds from borrowings, and proceeds from the issuance of convertible preferred stock, and notes payable.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primary uses of cash for financing activities include payments made to holders of securitization notes and residual certificates for consolidated securitizations and repayments of notes payable and borrowings.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financing activities was $19.3 million for the three months ended March 31, 2021 as a result of $26.6 million payment on borrowings, which was partially offset by $5.8 in proceeds from borrowings and $1.5 million of proceeds from exercise of stock options.</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$30.1 million for the three months ended March 31, 2020 as a result of $78.0 million in payment on borrowings and $16.7 million payment on securitization notes and certificates, which was partially offset by $64.8 million in net proceeds from borrowings.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commitments consist of obligations under our loan purchase agreements, debt obligations related to our revolving credit facilities, term loans and risk retention funding loans, purchase commitment, and operating leases for office spaces. The following table summarizes our contractual obligations as of March 31, 2021 and the timing and effect that such commitments are expected to have on our liquidity and capital requirements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Less than 1 year</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1 to 3 years</w:t>
            </w:r>
          </w:p>
        </w:tc>
        <w:tc>
          <w:tcPr>
            <w:tcW w:w="8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3 to 5 years</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More than 5</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Loan purchase obligations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payments on term loans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Warehouse and revolving credit facilities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retention funding loans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Purchase commitment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jc w:val="both"/>
        <w:ind w:left="500" w:hanging="492"/>
        <w:spacing w:after="0" w:line="248" w:lineRule="auto"/>
        <w:tabs>
          <w:tab w:leader="none" w:pos="492"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our long-term debt obligations, operating lease obligations and loan repurchase agreement as of March 31, 2021, see “</w:t>
      </w:r>
      <w:r>
        <w:rPr>
          <w:rFonts w:ascii="Arial" w:cs="Arial" w:eastAsia="Arial" w:hAnsi="Arial"/>
          <w:sz w:val="16"/>
          <w:szCs w:val="16"/>
          <w:i w:val="1"/>
          <w:iCs w:val="1"/>
          <w:color w:val="auto"/>
        </w:rPr>
        <w:t>Note 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 “</w:t>
      </w:r>
      <w:r>
        <w:rPr>
          <w:rFonts w:ascii="Arial" w:cs="Arial" w:eastAsia="Arial" w:hAnsi="Arial"/>
          <w:sz w:val="16"/>
          <w:szCs w:val="16"/>
          <w:i w:val="1"/>
          <w:iCs w:val="1"/>
          <w:color w:val="auto"/>
        </w:rPr>
        <w:t>Note 10. Leases,</w:t>
      </w:r>
      <w:r>
        <w:rPr>
          <w:rFonts w:ascii="Arial" w:cs="Arial" w:eastAsia="Arial" w:hAnsi="Arial"/>
          <w:sz w:val="16"/>
          <w:szCs w:val="16"/>
          <w:color w:val="auto"/>
        </w:rPr>
        <w:t>” and “</w:t>
      </w:r>
      <w:r>
        <w:rPr>
          <w:rFonts w:ascii="Arial" w:cs="Arial" w:eastAsia="Arial" w:hAnsi="Arial"/>
          <w:sz w:val="16"/>
          <w:szCs w:val="16"/>
          <w:i w:val="1"/>
          <w:iCs w:val="1"/>
          <w:color w:val="auto"/>
        </w:rPr>
        <w:t>Note 11. Commitments and Contingencies</w:t>
      </w:r>
      <w:r>
        <w:rPr>
          <w:rFonts w:ascii="Arial" w:cs="Arial" w:eastAsia="Arial" w:hAnsi="Arial"/>
          <w:sz w:val="16"/>
          <w:szCs w:val="16"/>
          <w:color w:val="auto"/>
        </w:rPr>
        <w:t>,” respectively, in Part I, Item 1 of this Form 10-Q for further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required by law, we retain at least 5% of the credit risk of the securities issued in these securitizations. We also engaged in activities with a personal loan trust entity created to facilitate fractional loan transactions. The fractional loan program was closed to new investments in 2019. We provide additional information regarding transactions with unconsolidated VIEs in “</w:t>
      </w:r>
      <w:r>
        <w:rPr>
          <w:rFonts w:ascii="Arial" w:cs="Arial" w:eastAsia="Arial" w:hAnsi="Arial"/>
          <w:sz w:val="18"/>
          <w:szCs w:val="18"/>
          <w:i w:val="1"/>
          <w:iCs w:val="1"/>
          <w:color w:val="auto"/>
        </w:rPr>
        <w:t>Note 3. Securitizations and Variable Interest Entities</w:t>
      </w:r>
      <w:r>
        <w:rPr>
          <w:rFonts w:ascii="Arial" w:cs="Arial" w:eastAsia="Arial" w:hAnsi="Arial"/>
          <w:sz w:val="18"/>
          <w:szCs w:val="18"/>
          <w:color w:val="auto"/>
        </w:rPr>
        <w:t>” in Part I, Item 1 of this Form 10-Q.</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significant accounting policies are described in Part II, Item 7, “</w:t>
      </w:r>
      <w:r>
        <w:rPr>
          <w:rFonts w:ascii="Arial" w:cs="Arial" w:eastAsia="Arial" w:hAnsi="Arial"/>
          <w:sz w:val="18"/>
          <w:szCs w:val="18"/>
          <w:i w:val="1"/>
          <w:iCs w:val="1"/>
          <w:color w:val="auto"/>
        </w:rPr>
        <w:t>Critical Accounting Policies and Estimate</w:t>
      </w:r>
      <w:r>
        <w:rPr>
          <w:rFonts w:ascii="Arial" w:cs="Arial" w:eastAsia="Arial" w:hAnsi="Arial"/>
          <w:sz w:val="18"/>
          <w:szCs w:val="18"/>
          <w:color w:val="auto"/>
        </w:rPr>
        <w:t>s” in our Annual Report on Form 10-K for the year ended December 31, 2020. There have been no material changes in the three months ended March 31, 2021 to these policies and estimates since our Annual Report on Form 10-K for the year ended December 31, 2020, except for the estimated fair value of Restricted Stock Units and Employee Stock Purchase Plan purchase rights as described in “</w:t>
      </w:r>
      <w:r>
        <w:rPr>
          <w:rFonts w:ascii="Arial" w:cs="Arial" w:eastAsia="Arial" w:hAnsi="Arial"/>
          <w:sz w:val="18"/>
          <w:szCs w:val="18"/>
          <w:i w:val="1"/>
          <w:iCs w:val="1"/>
          <w:color w:val="auto"/>
        </w:rPr>
        <w:t>Note 1. Description of Business and Significant Accounting Policie</w:t>
      </w:r>
      <w:r>
        <w:rPr>
          <w:rFonts w:ascii="Arial" w:cs="Arial" w:eastAsia="Arial" w:hAnsi="Arial"/>
          <w:sz w:val="18"/>
          <w:szCs w:val="18"/>
          <w:color w:val="auto"/>
        </w:rPr>
        <w:t>s” and “</w:t>
      </w:r>
      <w:r>
        <w:rPr>
          <w:rFonts w:ascii="Arial" w:cs="Arial" w:eastAsia="Arial" w:hAnsi="Arial"/>
          <w:sz w:val="18"/>
          <w:szCs w:val="18"/>
          <w:i w:val="1"/>
          <w:iCs w:val="1"/>
          <w:color w:val="auto"/>
        </w:rPr>
        <w:t>Note 9. Equity</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Plans</w:t>
      </w:r>
      <w:r>
        <w:rPr>
          <w:rFonts w:ascii="Arial" w:cs="Arial" w:eastAsia="Arial" w:hAnsi="Arial"/>
          <w:sz w:val="18"/>
          <w:szCs w:val="18"/>
          <w:color w:val="auto"/>
        </w:rPr>
        <w:t>” in Part I, Item 1 of this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in Part I, Item 1 of this Form 10-Q for recently adopted accounting pronouncements and recently issued accounting pronouncements not yet adopted as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 Rate Risk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Loans at Fair Value</w:t>
      </w:r>
      <w:r>
        <w:rPr>
          <w:rFonts w:ascii="Arial" w:cs="Arial" w:eastAsia="Arial" w:hAnsi="Arial"/>
          <w:sz w:val="17"/>
          <w:szCs w:val="17"/>
          <w:color w:val="auto"/>
        </w:rPr>
        <w:t>—As of December 31, 2020 and March 31, 2021, we were exposed to market discount rate risk on $78.5 million and $57.2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of loans held-for-investment and held-for-sale on our consolidated balance sheets. The fair value of these loans is estimated using a discounted cash flow methodology, where the discount rate represents an estimate of the required rate 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As of December 31, 2020 a hypothetical 100 basis point and 200 basis point increase in discount rate would result in a $1.0 million and $1.9 million decrease, respectively, in the fair value of these loans. As of March 31, 2021, a hypothetical 100 basis point and 200 basis point increase in discount rate would result in a $0.7 million and $1.4 million decrease, respectively, in the fair value of these loans.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Assets related to Securitization Transaction</w:t>
      </w:r>
      <w:r>
        <w:rPr>
          <w:rFonts w:ascii="Arial" w:cs="Arial" w:eastAsia="Arial" w:hAnsi="Arial"/>
          <w:sz w:val="17"/>
          <w:szCs w:val="17"/>
          <w:color w:val="auto"/>
        </w:rPr>
        <w:t>s—As of December 31, 2020 and March 31, 2021, we were exposed to discount rate risk on $19.1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$16.0 million, respectively of notes receivable and residual certificates. We assess the sensitivity of securitization notes and residual certificates by reviewing the average impact across all securitization transactions. As of December 31, 2020, a hypothetical 100 basis point and 200 basis point increase in discount rates would result in a decrease in fair value of these securities of 1.23% and 2.36%, respectively, on average across all securitizations. As of March 31, 2021, a hypothetical 100 basis point and 200 basis point increase in discount rates would result in a decrease in fair value of these securities of 1.05% and 2.08% respectively, on average across all securitizations.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2020 and March 31, 2021, we were exposed to credit risk on $78.5 million and $57.2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loans in held-for-investment and held-for-sale in our consolidated balance sheet. These loans bear fixed interest rates and are carried on our consolidated balance sheets at fair value. As of December 31, 2020, a hypothetical 10% and 20% increase in credit risk would result in a $1.3 million and $2.6 million decrease, respectively, in the fair value of loans held-for-investment (excluding loans held as collateral by consolidated securitizations). As of March 31, 2021, a hypothetical 10% and 20% increase in credit risk would result in a $1.1 million and $2.1 million decrease,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Assets related to Securitization Transactions</w:t>
      </w:r>
      <w:r>
        <w:rPr>
          <w:rFonts w:ascii="Arial" w:cs="Arial" w:eastAsia="Arial" w:hAnsi="Arial"/>
          <w:sz w:val="18"/>
          <w:szCs w:val="18"/>
          <w:color w:val="auto"/>
        </w:rPr>
        <w:t>— Transactions—As of December 31, 2020 and March 31, 2021, we were exposed to discount rate</w:t>
      </w:r>
      <w:r>
        <w:rPr>
          <w:rFonts w:ascii="Arial" w:cs="Arial" w:eastAsia="Arial" w:hAnsi="Arial"/>
          <w:sz w:val="18"/>
          <w:szCs w:val="18"/>
          <w:i w:val="1"/>
          <w:iCs w:val="1"/>
          <w:color w:val="auto"/>
        </w:rPr>
        <w:t xml:space="preserve"> </w:t>
      </w:r>
      <w:r>
        <w:rPr>
          <w:rFonts w:ascii="Arial" w:cs="Arial" w:eastAsia="Arial" w:hAnsi="Arial"/>
          <w:sz w:val="18"/>
          <w:szCs w:val="18"/>
          <w:color w:val="auto"/>
        </w:rPr>
        <w:t>risk on $19.1 million and $16.0 million, respectively of notes receivable and residual certificates.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17%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and March 31, 2021, we are exposed to credit risk of $311.3 million and $336.1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Term Loan, Warehouse Credit Facility and Revolving Credit Facilit</w:t>
      </w:r>
      <w:r>
        <w:rPr>
          <w:rFonts w:ascii="Arial" w:cs="Arial" w:eastAsia="Arial" w:hAnsi="Arial"/>
          <w:sz w:val="18"/>
          <w:szCs w:val="18"/>
          <w:color w:val="auto"/>
        </w:rPr>
        <w:t>y—As of December 31, 2020 and March 31, 2021, we are exposed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risk on $55.5 million and $36.8 million, respectively, under the term loans, warehouse credit facility, and revolving credit facility arrangements which bear floating interest rates. Changes in interest rates may impact our cost of borrowing. Future funding activities under the revolving credit facilities may increase our exposure to interest rate risk, as the interest rates payable on such funding are tied to short-term market rates. From time to time, we enter into interest rate hedges in connection with our warehouse credit facilities.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or failure to manage market risks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management, with the participation and supervision of the Company’s Chief Executive Officer and Chief Financial Officer, have evaluated the effectiveness of the Company’s disclosure controls and procedures as defined in Rules 13a-15(e) and 15d-15(e) under the Securities Exchange Act of 1934, as amended (the “Exchange Act”),. Based on that evaluation, the Company’s Chief Executive Officer and Chief Financial Officer have concluded that, as of March 31, 2021, the Company’s disclosure controls and procedures were designed and function effectively to provide reasonable assurance that information required to be disclosed by the Company in reports filed or submitted under the Exchange Act is recorded, processed, summarized, and reported within the time periods specified in SEC rules and forms, and that such information is accumulated and communicated to our management, including the Company’s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March 31, 2021 that has materially affected, or is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2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our material pending legal proceedings, please see “</w:t>
      </w:r>
      <w:r>
        <w:rPr>
          <w:rFonts w:ascii="Arial" w:cs="Arial" w:eastAsia="Arial" w:hAnsi="Arial"/>
          <w:sz w:val="18"/>
          <w:szCs w:val="18"/>
          <w:i w:val="1"/>
          <w:iCs w:val="1"/>
          <w:color w:val="auto"/>
        </w:rPr>
        <w:t>Note 11. Commitments and Contingencie</w:t>
      </w:r>
      <w:r>
        <w:rPr>
          <w:rFonts w:ascii="Arial" w:cs="Arial" w:eastAsia="Arial" w:hAnsi="Arial"/>
          <w:sz w:val="18"/>
          <w:szCs w:val="18"/>
          <w:color w:val="auto"/>
        </w:rPr>
        <w:t>s” in Part I, Item 1 of this Form 10-Q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risks that may affect our business, financial condition or results of operations include, but are not limited to, those relating to the following:</w:t>
      </w:r>
    </w:p>
    <w:p>
      <w:pPr>
        <w:spacing w:after="0" w:line="62" w:lineRule="exact"/>
        <w:rPr>
          <w:sz w:val="20"/>
          <w:szCs w:val="20"/>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a rapidly growing company with a relatively limited operating history, which may result in increased risks, uncertainties, expenses and difficulties, and makes it difficult to evaluate our future prospects.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revenue growth rate and financial performance in recent periods may not be indicative of future performance and such growth may slow over time.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COVID-19 pandemic has harmed our business, financial condition and results of operations and the duration and extent to which it will impact our future results of operations overall financial performance remains uncertain.</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incurred net losses in the past, and we may not be able to maintain or increase our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results are likely to fluctuate and as a result may adversely affect the trading price of our common stock.</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Cross River Bank and one other bank partner account for a substantial portion of the total number of loans facilitated by our platform and our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sales and onboarding process of new bank partners could take longer than expected, leading to fluctuations or variability in expected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may be adversely affected by economic conditions and other factors that we cannot control.</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38" w:lineRule="exact"/>
        <w:rPr>
          <w:rFonts w:ascii="Arial" w:cs="Arial" w:eastAsia="Arial" w:hAnsi="Arial"/>
          <w:sz w:val="17"/>
          <w:szCs w:val="17"/>
          <w:color w:val="auto"/>
        </w:rPr>
      </w:pPr>
    </w:p>
    <w:p>
      <w:pPr>
        <w:ind w:left="660" w:hanging="328"/>
        <w:spacing w:after="0" w:line="262"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20"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95"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are unable to maintain a diverse and robust loan funding program, our growth prospects, business, financial condition and results of operations could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and increase the volume of loans facilitated by our AI lending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new and maintain existing bank partnerships;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fund a sufficient quantity of our borrower loan demand with low cost bank funding to help keep interest rates offered to borrowers competitive;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 including our direct consumer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expand the number of potential borrowers;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adjust our proprietary AI models, products and services in a timely manner in response to changing macroeconomic conditions and fluctuations in the credit market;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protect against increasingly sophisticated fraudulent borrowing and online theft;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new markets and introduce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obtain and maintain funding and liquidity to support continued growth and general corporate purposes;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integrate and retain qualified employees;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effectively manage and expand the capabilities of our operations teams, outsourcing relationships and other business operations.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not able to timely and effectively address these risks and difficulties as well as those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and results of operations may be harmed.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 growth rate and financial performance in recent years may not be indicative of future performance and such growth may slow over time.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grown rapidly over the last several years, and our recent revenue growth rate and financial performance may not be indicative of our future performance. In the three months ended March 31, 2020 and 2021, our revenue was $64.0 million, and $121.3 million, respectively, representing a period-over-period growth rate of 90%. You should not rely on our revenue for any previous quarterly or annual period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70% during the three months ended March 31, 2020 and increased to 71% during the three months ended March 31, 2021. We expect the Percentage of Loans Fully Automated to level off and remain relatively constant in the long term, and to the extent we expand our loan offerings beyond unsecured personal loans, we expect that such percentage may decrease in the short term. As a result of these factors, our revenue growth rates may slow, and our financial performance may be adversely affected.</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has harmed our business, financial condition and results of operations and the duration and extent to which it will impact our future results of operations overall financial performance remains uncertain.</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 even after the COVID-19 pandemic has subsided. In particular, the impact of the COVID-19 pandemic on the finances of borrowers on our platform has been profound, as many have been, and will likely continue to be, impacted by unemployment, reduced earnings and/or elevated economic disruption and insecurity.</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magnitude and duration of the resulting fluctuations in business activity cannot currently be estimated with any degree of certainty and has had several effects on our business and results of operations, including, among other things:</w:t>
      </w:r>
    </w:p>
    <w:p>
      <w:pPr>
        <w:spacing w:after="0" w:line="6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origination volumes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for increased losses for new and existing originations using our AI models resulting from a rise in U.S. unemployment;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temporary reduction in the availability of loan funding from institutional investors and the capital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sales operations and marketing efforts, and a reduction in the effectiveness of such efforts in some cases.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impact of the COVID-19 pandemic, we have undertaken a number of initiatives to support borrowers on our platform who have suffered income loss or other hardships as a result of the pandemic. We worked with our bank partners to offer revised hardship and temporary relief plans to support borrowers impacted by the COVID-19 pandemic and adjust credit and underwriting processes and standards. While these changes to our hardship and temporary relief plans were designed to help borrowers impacted by the COVID-19 pandemic, the changes were implemented quickly and may not have had all the intended effects or desired impact. We continue to actively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2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also taken precautionary measures intended to reduce the risk of the virus spreading to our employees, bank partners, vendors, and the communities in which we operate, including temporarily closing our offices and virtualizing, postponing, or canceling partner bank, employee, or industry events, which may negatively impact our business. Furthermore, as a result of the COVID-19 pandemic, we have required all employees who are able to do so to work remotely through the end of the second quarter of 2021 and intend to continue to allow employees the flexibility to work remotely part-time going forward. It is possible that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 Additionally, our efforts to re-open our offices safely may not be successful, could expose our employees, bank partners, and vendors to health risks, and us to associated liability, and will involve additional financial burdens. The pandemic may have long-term effects on the nature of the office environment and this may present operational challenges that may adversely affect our business.</w:t>
      </w:r>
    </w:p>
    <w:p>
      <w:pPr>
        <w:spacing w:after="0" w:line="19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in response to the market conditions caused by the COVID-19 pandemic, we made certain operational changes, including temporary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extent to which the COVID-19 pandemic continues to impact our business and results of operations will also depend on future developments that are highly uncertain and cannot be predicted, including new information which may emerge concerning the severity of the disease and variant strains of the disease, future spikes of COVID-19 infections resulting in additional preventive measures to contain or mitigate the spread of the virus, the impact on businesses and financial and capital markets, the extent and effectiveness of containment actions and the administration and efficacy of vaccination programs with respect to variant strains of COVID-19 that have materialized or will emerge in the future.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effectively manage our growth, our business, financial condition and results of operations could be adversely affected.</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Over the last several years, we have experienced rapid growth in our business and the Transaction Volume, Number of Loans on our AI lending platform, and we expect to continue to experience growth in the future. The Transaction Volume, Number of Loans on our platform increased from 84,214 in three months ended March 31, 2020 to 169,750 in the three months ended March 31, 2021 representing a compound annual growth rate of 102%.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net losses in the past, and we may not be able to maintain or increase our profitability in the future.</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three months ended March 31, 2020 and 2021 we have experienced net income of $1.5 million and $10.1 million, respectively.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new bank partners and investors of our loan funding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bank partners and investors of our loan funding programs;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improve loan mix and the channels through which the loans, bank partners and loan funding are sourced;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loan aggregators from which prospective borrowers access our website;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and tightening of credit markets, including due to the ongoing economic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improvements to our AI models that negatively impact transaction volume, such as lower approval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extent of loans facilitated on our platform that are subject to loan modifications and/or temporary assistance due to disasters or emergencies;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we experience significant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has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2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three months ended March 31, 2021, approximately 96% of our revenue was generated from platform, referral and servicing fees that we receive from our bank partners.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entered into separate agreements with each of our bank partners. Our agreements with our bank partners are nonexclusive, generally have 12-month terms that automatically renew,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our bank partners may retain loans for their own customer base and balance sheet. In the three months ended March 31, 2021, approximately 17% of Upstart-powered loans were retained by the originating bank, while about 81% of Upstart-powered loans were purchased by institutional investors through our loan funding programs. While the percentage of Upstart-powered loans retained by the originating banks has fluctuated from quarter-to-quarter, it has generally increased over the last few years.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0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Cross River Bank and one other bank partner account for a substantial portion of the total number of loans facilitated by our platform and our revenue.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three months ended March 31, 2020 and 2021, CRB originated approximately 81% and 56%, respectively, of the Transaction Volume, Dollars. CRB also accounts for a large portion of our revenues. In the three months ended March 31, 2020 and 2021, fees received from CRB accounted for 79% and 60%,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three months ended March 31, 2021, one of our other bank partners originated approximately 34% of the Transaction Volume, Dollars. In the three months ended March 31, 2021, the fees received from this bank partner accounted for 25% of our total revenue.</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sales and onboarding process of new bank partners could take longer than expected, leading to fluctuations or variability in expected revenues and results of operations.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sales and onboarding process with new bank partners can be long and typically takes between six to 15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affected by economic conditions and other factors that we cannot control.</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response to the initial outbreak of the COVID-19 pandemic, bank partners tightened their credit requirements or paused originations, and investors in our loan funding programs temporarily suspended making investments in Upstart-powered loans.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new consumers on the Upstart platform have limited or no credit history. Accordingly, such borrowers have historically been, and may in the future become, disproportionately affected by adverse macroeconomic conditions, such as the ongoing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example, the onset of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return to pre-pandemic levels in the near term. The additional unemployment benefits put in place pursuant to the Coronavirus Aid, Relief, and Economic Security Act (as amended), or the CARES Act, are set to expire on September 6, 2021, and there can be no assurance that Congress will extend such additional benefits. The increase in the unemployment rate and other adverse economic effects caused by the COVID-19 pandemic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potential borrowers compared to other lenders, then our business, financial condition and results of operations could be adversely affected.</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the COVID-19 pandemic caused some borrowers on our platform to request a temporary extension or modification of the payment schedules of their loans under the temporary relief or loan modification programs, or hardship programs, offered by our bank partners and investors in our loan funding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 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enforcement action against us in the future. Further, this no-action letter does not extend to other credit products offered on Upstart’s platform.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2020, we expanded the type of loan products offered on our platform to include auto loans, however the vast majority of loan originations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For example, FICO has recently changed 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loans. In addition, borrowers may not view Upstart-powered loans, which were originated through an online lending platform,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having the same significance as other credit obligations arising under more traditional circumstances, such as loans from banks or other commercial financial institutions. Any of the forgoing could lead to higher default rates and decreased demand by our bank partners and institutional investors to fund loans facilitated by our platform, which would adversely affect our business, financial condition and results of operations.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2020, we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which may include credit cards, mortgages, student loans, point-of-sale loans and HELOCs.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1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small-dollar lending programs. Bank regulators have even required banks to exit third-party programs that the regulators determined involved unsafe and unsound practices. The payday or “small-dollar”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Artificial intelligence and related technologies are subject to public debate and heightened regulatory scrutiny.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will also prepare and make public periodic reports, the first of which was published on April 14, 2021, that summarize any general findings, recommendations and best practices, as well as any aspects of our AI model that raise particular fair lending concerns or implicate novel insights on educational equity that serve the public interest. While we will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or the third-party firm 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or point-of-sale lending,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Competition for highly skilled personnel, including engineering and data analytics personnel, is extremely intense, particularly in the San Francisco Bay Area where one of our headquarters is located. We have experienced, and expect to continue to face, difficulty identifying and hiring qualified personnel in many areas, especially as we pursue our growth strategy. Further, as a result of the COVID-19 pandemic, a large and increasing number of companies have adopted permanent work-from-home policies, which further increases the challenges associated with hiring and retaining qualified personnel.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of borrowers’ confidential information that we store may harm our reputation, adversely affect our results of operations and expose us to liability.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is large and complex, with many points of entry and access. While all information technology operations are inherently vulnerable to inadvertent or intentional security breaches, incidents, attacks and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remote or hybrid office-remote working environment could increase the risk of a security breach. Significant disruptions of our, our bank partners and third-party vendors’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75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primarily rely on three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evaluate and potentially consummate acquisitions, which could require significant management attention, consume our financial resources, disrupt our business and adversely affect our financial results.</w:t>
      </w:r>
    </w:p>
    <w:p>
      <w:pPr>
        <w:spacing w:after="0" w:line="1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complementary businesses and technologies rather than through internal development. For example, we recently completed the acquisition of Prodigy Software, Inc.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4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utilization of our financial resources for acquisitions or investments that may fail to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coordination of technology, product development and sales and marketing functions and integration of administrative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transition of the acquired company’s borrowers to our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attracting financing;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write-offs of loans or intangibles or other assets acquired in such transactions that may have an adverse effect on our results of operations in a given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or increase our risk for liability;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Borrowers may prepay a loan at any time without penalty, which could reduce our servicing fees and deter our bank partners and investors from investing in loans facilitated by our platform.</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in the past and may in the future be subject to litigation, claims, examinations, investigations, legal and administrative cases and proceedings related to the offer and sale of Upstart-powered loans.</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to devote significant financial and management resources to address these issues, which could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risks of natural disasters and other catastrophic events, and to interruption by man-made problems.</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has had a significant impact on the global economy and consumer confidence. If the pandemic persists or worsens, it could continue to adversely impact the economy and consumer confidence, and could negatively impact our operations and our platform, each of which could seriously harm our business. In addition, it is possible that continued widespread remote work arrangements may have a negative impact on our operations, the execution of our business plans, the productivity and availability of key personnel and other employees necessary to conduct our business, or otherwise cause operational failures due to changes in our normal business practices necessitated by the outbreak and related governmental actions. There is no guarantee that we will be as effective while working remotely or in a hybrid office-remote arrangement because our team is dispersed,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Additionally, remote or hybrid work arrangements may make it more difficult to scale our operations efficiently, as the recruitment,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one of our headquarters is located in the San Francisco Bay Area, a region known for seismic activity and wildfires, and our other headquarters is located in Columbus, Ohio, a region subject to blizzards.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acts of war and other armed conflicts, disruptions in global trade, travel restrictions and quarantines, terrorism and other civil, political and geo-political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common stock. We expect to lose our “emerging growth company” status upon the filing of the Form 10-K for the year ending December 31, 2021.</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7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platform and internal systems rely on software that is highly technical, and if our software contains undetected errors, our business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aspects of our business processes include open source software, and any failure to comply with the terms of one or more of these open source licenses could negatively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open source licenses contain requirements that we make source code available at no cost for modifications or derivative works we create based upon the type of open source software we use.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and potentially our intellectual property rights. If we were required to publicly disclose any portion of our proprietary models, it is possible we could lose the benefit of trade secret protection for our models.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 significant number of consumers that apply for a loan on Upstart.com learn about and access Upstart.com through the website of a loan aggregator, typically with a hyperlink from such loan aggregator’s website to a landing page on our website. For example, for the three months ended March 31, 2020 and 2021, 48% and 53%, respectively, of loan originations were derived from traffic from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Upstart currently does not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 If traffic from Credit Karma decreases again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Such loan aggregators also face litigation and regulatory scrutiny for their part in the consumer lending ecosystem, and as a result, their business models may require fundamental change or may not be sustainable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 to verify the accuracy of applicant-reported information. Data from national credit bureaus and other consumer reporting agencies and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 relies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attract new borrowers and partners to our platform or increase the number of Upstart-powered loans and adversely affect our business, financial condition and results of operations.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has issued a rule pertaining to the “true lender” issue, which was challenged by state attorneys general in a complaint filed January 5,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are factual distinctions between our program and the circumstances addressed in the Second Circuit’s Madden decision, as well as the circumstances in the Colorado UCCC settlement, credit card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4"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Additionally, on April 5, 2021, the Washington DC Attorney General filed a similar complaint against another online lender Opportunity Financial, LLC, alleging that it rather than a bank originated these loans and the loans were therefore in violation of Washington, DC usury laws.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on January 5, 2021, Attorneys General from seven states – New York, California, Colorado, Massachusetts,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Jersey, and North Carolina – and the District of Columbia filed suit against the OCC in the U.S. District Court for the Southern District of New York, challenging the rule, and the outcome of the litigation is uncertain. In addition, the OCC rule does not apply to state-chartered banks and there can be no assurance that the FDIC will issue a similar rule applicable to state-chartered banks.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20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or facilitate compliance with a variety of federal, state, and local laws, including those related to consumer protection and loan financings.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While these requirements will not immediately change with the incoming presidential administration, this new administration is expected to bring an increased focus on enforcement of federal consumer protection laws and appoint consumer-oriented regulators at federal agencies such as the CFPB, the OCC and the FDIC.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 impacting our business, operations, and profitability.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76" w:lineRule="exact"/>
        <w:rPr>
          <w:sz w:val="20"/>
          <w:szCs w:val="20"/>
          <w:color w:val="auto"/>
        </w:rPr>
      </w:pPr>
    </w:p>
    <w:p>
      <w:pPr>
        <w:jc w:val="both"/>
        <w:ind w:left="660" w:hanging="328"/>
        <w:spacing w:after="0" w:line="279"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63"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income derives from any public assistance program or the fact that the applicant has in good faith exercised any right under the federal Consumer Credit Protection Act;</w:t>
      </w:r>
    </w:p>
    <w:p>
      <w:pPr>
        <w:spacing w:after="0" w:line="62" w:lineRule="exact"/>
        <w:rPr>
          <w:sz w:val="20"/>
          <w:szCs w:val="20"/>
          <w:color w:val="auto"/>
        </w:rPr>
      </w:pPr>
    </w:p>
    <w:p>
      <w:pPr>
        <w:jc w:val="both"/>
        <w:ind w:left="660" w:hanging="328"/>
        <w:spacing w:after="0" w:line="25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2" w:lineRule="exact"/>
        <w:rPr>
          <w:rFonts w:ascii="Arial" w:cs="Arial" w:eastAsia="Arial" w:hAnsi="Arial"/>
          <w:sz w:val="18"/>
          <w:szCs w:val="18"/>
          <w:color w:val="auto"/>
        </w:rPr>
      </w:pPr>
    </w:p>
    <w:p>
      <w:pPr>
        <w:ind w:left="660" w:right="120" w:hanging="328"/>
        <w:spacing w:after="0"/>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Fair Debt Collection Practices Act, Regulation F (including new federal requirements set to take effect November 30, 2021), and similar state debt collection laws, which provide guidelines and limitations on the conduct of third-party debt collectors (and some limitation on creditors collecting their own debts) in connection with the collection of consumer debts;</w:t>
      </w:r>
    </w:p>
    <w:p>
      <w:pPr>
        <w:spacing w:after="0" w:line="80"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6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60" w:hanging="328"/>
        <w:spacing w:after="0" w:line="311"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 to Financial Privacy Act and similar state laws enacted to provide the financial records of financial institution customers a reasonable amount of privacy from government scrutiny;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Bank Secrecy Act and the USA PATRIOT Act, which relate to compliance with anti-money laundering, borrower due diligence and record-keeping policies and procedures;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state-specific and local laws and regulations.</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California recently enacted legislation to create a “mini-CFPB,” which could increase its oversight over bank partnership relationships and strengthen state consumer protection authority of state regulators to police debt collections and unfair, deceptive or abusive acts and practices. Additionally, voter referendums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2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actions, rescission rights held by investors in securities offerings and civil and criminal liability, all of which would harm our business.</w:t>
      </w: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Internet-based loan origination processes may give rise to greater risks than paper-based processes and may not always be allowed under state law.</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9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CFPB is a relatively new agency that has sometimes taken expansive views of its authority to regulate consumer financial services, creating uncertainty as to how the agency’s actions or the actions of any other agency could impact our business.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There continues to be uncertainty about the future of the CFPB and as to how its strategies and priorities, including in both its examination and enforcement processes, will impact our business and our results of operations going forward.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other credit products offered on Upstart’s platform.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new presidential administration is expected to appoint consumer-oriented regulators at federal agencies such as the CFPB, Federal Trade Commission, the OCC and the FDIC and the government’s focus on enforcement of federal consumer protection laws is expected to increase. It is possible that these newly appointed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The FTC also is currently engaged in litigation with LendingClub regarding, among other things, the adequacy of its disclosures of an origination fee associated with the product. Based upon recent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The CPRA creates obligations relating to consumer data beginning on January 1, 2022, with implementing regulations expected on or before July 1, 2022, and enforcement beginning July 1, 2023. Additionally, other U.S. states, such as Virginia,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transactions in our loan funding programs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required to register with the SEC or under state securities laws as a broker-dealer, our ability to conduct business could be materially adversely affected.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80"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may reduce overall net return on purchased pools of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loan purchasers’ sector and company investment diversification requirements and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yielding investment opportunities at a risk profile deemed similar to our sold loan portfolios;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borrower prepayment behavior within the underlying pools;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loans; and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face regulatory risks related to compliance with Section 13 of the Bank Holding Company Act, commonly known as the “Volcker Rule,” which prohibits banking entities from acquiring an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in entities that are investment companies for purposes of the Investment Company Act, or would be investment companies but for Sections 3(c)(1) or 3(c)</w:t>
      </w:r>
    </w:p>
    <w:p>
      <w:pPr>
        <w:spacing w:after="0" w:line="46" w:lineRule="exact"/>
        <w:rPr>
          <w:sz w:val="20"/>
          <w:szCs w:val="20"/>
          <w:color w:val="auto"/>
        </w:rPr>
      </w:pPr>
    </w:p>
    <w:p>
      <w:pPr>
        <w:jc w:val="both"/>
        <w:ind w:firstLine="8"/>
        <w:spacing w:after="0" w:line="268" w:lineRule="auto"/>
        <w:tabs>
          <w:tab w:leader="none" w:pos="277" w:val="left"/>
        </w:tabs>
        <w:numPr>
          <w:ilvl w:val="0"/>
          <w:numId w:val="46"/>
        </w:numPr>
        <w:rPr>
          <w:rFonts w:ascii="Arial" w:cs="Arial" w:eastAsia="Arial" w:hAnsi="Arial"/>
          <w:sz w:val="17"/>
          <w:szCs w:val="17"/>
          <w:color w:val="auto"/>
        </w:rPr>
      </w:pPr>
      <w:r>
        <w:rPr>
          <w:rFonts w:ascii="Arial" w:cs="Arial" w:eastAsia="Arial" w:hAnsi="Arial"/>
          <w:sz w:val="17"/>
          <w:szCs w:val="17"/>
          <w:color w:val="auto"/>
        </w:rPr>
        <w:t>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0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RISKS RELATED TO LOAN FUNDING AND INDEBTEDNESS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maintain a diverse and robust loan funding program, our growth prospects, business, financial condition and results of operations could be adversely affected.</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depends on sourcing and maintaining a diverse and robust loan funding program to fund Upstart-powered loans that our bank partners are unable or unwilling to retain on their balance sheets. In the three months ended March 31, 2021, approximately 17% of Upstart-powered loans were retained by the originating bank while approximately 81% of Upstart-powered loans were purchased by investors through our loan funding program, which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loan funding programs, including asset-backed securitizations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March 31, 2021, the number of repurchased Upstart-powered loans as a result of inaccurate representations and warranties represents less than 0.33%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unsecured senior corporate debt currently has no rating, and we have never issued unsecured debt securities in the capital markets. Asset-backed securities sponsored or co-sponsored by us are currently rated by a limited number of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borrowings under our corporate and warehouse credit facility to fund certain aspects of our operations, and any inability to meet our obligations as they come due or to comply with various covenants could harm our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credit facilities consist of term loans and revolving loan facilities that we have drawn on to finance our operations and for other corporate purposes. As of March 31, 2021, we had $20.5 million outstanding principal under the term loans and revolving credit facilities. These borrowings are secured by all the assets of the company that have not otherwise been sold or pledged to secure bank debt or securities associated with structured finance facilities, such as assets belonging to our consolidated warehouse trust special purpose entities and securitization trusts. These credit agreements contain operating and financial covenants, including customary limitations on the incurrence of certain indebtedness and liens, restrictions on certain transactions and limitations on dividends and stock repurchases. We have in the past, and may in the future, fail to comply with certain operating or financial covenants in our credit agreements, requiring a waiver from our lenders. Our ability to comply with or renegotiate these covenants may be affected by events beyond our control, and breaches of these covenants could result in a default under such agreements and any future financial agreements into which we may enter. If we were to default on our credit obligations and such defaults were not waived, our lenders may require repayment of any outstanding debt and terminate their agreements with us.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 On November 2, 2020, we repaid all outstanding borrowings under one of our warehouse credit facilities in the amount of $4.0 million and terminated the corresponding warehouse credit facility.</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our warehouse credit facility, we may borrow up to $100.0 million until May 2021, and any outstanding principal, together with any accrued and unpaid interest, are due and payable by the warehouse trust special purpose entity in May 2022. As of March 31, 2021, the amount borrowed under this credit facility was $16.3 million, and $28.9 million of aggregated fair value of loans purchased were pledged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warehouse credit facility imposes operating and financial covenants on the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facility, requiring a waiver from our lenders.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On March 5, 2021, the FCA announced that all LIBOR settings will either cease to be provided by any administrator, or no longer be representative immediately after December 31, 2021, for all GBP, EUR, CHF and JPY LIBOR settings and one-week and two-month US dollar LIBOR settings, and immediately after June 30, 2023 for the remaining US dollar LIBOR settings, including three-month US dollar LIBOR.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 particular, the interest rate of borrowings under our warehouse credit facilities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19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loan products, enhance our AI models, improve our operating infrastructure, or acquire complementary businesses and technologies. Accordingly, we may need to engage in equity, debt or convertible debt financings to secure additional funds. If we raise additional funds by issuing equity securities or securities convertible into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200" w:lineRule="exact"/>
        <w:rPr>
          <w:sz w:val="20"/>
          <w:szCs w:val="20"/>
          <w:color w:val="auto"/>
        </w:rPr>
      </w:pPr>
    </w:p>
    <w:p>
      <w:pPr>
        <w:spacing w:after="0" w:line="25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RISKS RELATED TO TAXES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use our deferred tax assets to offset future taxable income may be subject to certain limitations that could subject our business to higher tax liability.</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example, in the Tax Act, as modified by the CARES Act, NOLs arising in taxable years beginning after December 31, 2017 and before January 1, 2021 may be carried back to each of the five taxable years preceding the taxable year of such loss, but NOLs arising in taxable years beginning after December 31, 2020 may not be carried back. Additionally, under the Tax Act, as modified by the CARES Act, NOLs from taxable years that began after December 31, 2017 may offset no more than 80% of current taxable income annually for taxable years beginning after December 31, 2020, but the 80% limitation on the use of NOLs from taxable years that began after December 31, 2017 does not apply for taxable income in taxable years beginning before January 1, 2021. NOLs arising in taxable years ending after December 31, 2017 can be carried forward indefinitely, but NOLs generated in taxable years ending before January 1, 2018 will continue to have a two-year carryback and twenty-year carryforward period.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could have a material adverse effect on our business, financial condition and results of operations.</w:t>
      </w:r>
    </w:p>
    <w:p>
      <w:pPr>
        <w:spacing w:after="0" w:line="2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Changes in tax laws could have a material adverse effect on our business, financial condition and results of operations. For example, the Tax Act contained significant changes to U.S. tax law, including a reduction in the corporate tax rate and a transition to a new territorial system of taxation. The primary impact of the Tax Act on our provision for income taxes was a reduction of the future tax benefits of our deferred tax assets as a result of the reduction in the corporate tax rate. The impact of the Tax Act may be subject to ongoing technical guidance and accounting interpretation, which we will continue to monitor and assess. As we expand the scale of our business activities, any changes in the U.S. taxation of such activities may increase our effective tax rate and harm our business, financial condition and results of operations.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the recent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financial technology stocks;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financial technology companies and technology companies that offer services to financial institutions;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government policies or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any cease-and-desist orders from regulatory agencies that we are subject 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perceived data security breaches or other data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political unrest, natural disasters, pandemics or responses to these events;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insiders have significant voting power, which could limit your ability to influence the outcome of key transactions, including a change of control.</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substantial portion of the outstanding shares of our common stock are restricted from immediate resale but may be sold on a stock exchange in the near future. The large number of shares of our capital stock eligible for public sale or subject to rights requiring us to register them for public sale could depress the market price of our common stock.</w:t>
      </w:r>
    </w:p>
    <w:p>
      <w:pPr>
        <w:spacing w:after="0" w:line="2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and the perception that these sales could occur may also depress the market price of our common stock.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exceptions, not to sell any of our stock for 180 days after December 15, 2020. We refer to such period as the lock-up period. In addition, the underwriter representatives may, in their discretion, release all or some portion of the shares subject to lock-up agreements prior to the expiration of the lock-up period.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provisions of Rule 144 or Rule 701 under the Securities Act, beginning 181 days after December 15, 2020 (subject to the terms of the lock-up agreements and market standoff agreements described above), a significant number shares of our common stock will be eligible for sale in the public market from time to time thereafter, subject in some cases to the volume and other restrictions of Rule 144, as described below.</w:t>
      </w:r>
    </w:p>
    <w:p>
      <w:pPr>
        <w:jc w:val="both"/>
        <w:ind w:firstLine="648"/>
        <w:spacing w:after="0" w:line="253" w:lineRule="auto"/>
        <w:rPr>
          <w:sz w:val="20"/>
          <w:szCs w:val="20"/>
          <w:color w:val="auto"/>
        </w:rPr>
      </w:pPr>
      <w:r>
        <w:rPr>
          <w:rFonts w:ascii="Arial" w:cs="Arial" w:eastAsia="Arial" w:hAnsi="Arial"/>
          <w:sz w:val="18"/>
          <w:szCs w:val="18"/>
          <w:color w:val="auto"/>
        </w:rPr>
        <w:t>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spacing w:after="0" w:line="21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us to issue our 626,091,748 shares of authorized but unissued common stock and rights relating to common stock for the consideration and on the terms and conditions established by our Board of Directors in its sole discretion, whether in connection with acquisitions or otherwise. We have reserved 10,389,402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80" w:lineRule="exact"/>
        <w:rPr>
          <w:sz w:val="20"/>
          <w:szCs w:val="20"/>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or a majority of our entire Board of Directors are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2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restated bylaws to be inapplicable or unenforceable in an action, we may incur additional costs associated with resolving the dispute in other jurisdictions, which could harm our results of operations.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common stock less attractive to investors.</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We cannot predict if investors will find our common stock less attractive to the extent that we rely on these exemptions. If some investors find our common stock less attractive as a result, there may be a less active trading market for our common stock and the price of our common stock may be more volatile. We expect to lose our “emerging growth company” status upon the filing of the Form 10-K for the year ending December 31, 2021.</w:t>
      </w: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expect that being a public company will make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 has limited experience managing a public company.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Warrant-Related Issuances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January 2021, we issued an aggregate of 72,407 shares of common stock to an accredited investor upon the net exercise of warrants.</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believe the foregoing transaction was exempt from registration under the Securities Act in reliance upon Section 4(a)(2) of the Securities Act as a transaction by an issuer not involving any public offering. The recipient of the securities in the transaction represented its intentions to acquire the securities for investment only and not with a view to or for sale in connection with any distribution thereof, and appropriate legends were placed upon the stock certificates issued in these transactions. The transaction did not involve any underwriters, underwriting discounts or commissions or any public offering. The recipient had adequate access to information about us. The sales of these securities were made without any general solicitation or advertising..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18, 2020, we closed our initial public offering. The offer and sale of all of the shares in the IPO were registered under the Securities Act pursuant to a registration statement on Form S-1 (File No. 333-249860), which was declared effective by the SEC on December 15, 2020. There has been no material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planned use of proceeds from the IPO as described in our final prospectus filed with the SEC on December 16, 2020 pursuant to Rule 424(b)(4) of the Securities Act.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below are filed as part of this Quarterly Report on Form 10-Q or are incorporated herein by reference, in each case as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12529"/>
        </w:rPr>
        <w:t>EXHIBIT INDEX</w:t>
      </w:r>
    </w:p>
    <w:p>
      <w:pPr>
        <w:spacing w:after="0" w:line="306"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179" w:right="339" w:bottom="1440" w:gutter="0" w:footer="0" w:header="0"/>
        </w:sectPr>
      </w:pPr>
    </w:p>
    <w:p>
      <w:pPr>
        <w:spacing w:after="0" w:line="3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r>
      <w:tr>
        <w:trPr>
          <w:trHeight w:val="196"/>
        </w:trPr>
        <w:tc>
          <w:tcPr>
            <w:tcW w:w="20" w:type="dxa"/>
            <w:vAlign w:val="bottom"/>
          </w:tcPr>
          <w:p>
            <w:pPr>
              <w:spacing w:after="0"/>
              <w:rPr>
                <w:sz w:val="17"/>
                <w:szCs w:val="17"/>
                <w:color w:val="auto"/>
              </w:rPr>
            </w:pPr>
          </w:p>
        </w:tc>
        <w:tc>
          <w:tcPr>
            <w:tcW w:w="4620" w:type="dxa"/>
            <w:vAlign w:val="bottom"/>
            <w:gridSpan w:val="12"/>
          </w:tcPr>
          <w:p>
            <w:pPr>
              <w:spacing w:after="0" w:line="196" w:lineRule="exact"/>
              <w:rPr>
                <w:rFonts w:ascii="Arial" w:cs="Arial" w:eastAsia="Arial" w:hAnsi="Arial"/>
                <w:sz w:val="18"/>
                <w:szCs w:val="18"/>
                <w:color w:val="0000FF"/>
                <w:w w:val="94"/>
              </w:rPr>
            </w:pPr>
            <w:hyperlink r:id="rId127">
              <w:r>
                <w:rPr>
                  <w:rFonts w:ascii="Arial" w:cs="Arial" w:eastAsia="Arial" w:hAnsi="Arial"/>
                  <w:sz w:val="18"/>
                  <w:szCs w:val="18"/>
                  <w:color w:val="0000FF"/>
                  <w:w w:val="94"/>
                </w:rPr>
                <w:t>Prodigy Software, Inc. 2015 Stock Incentive Plan and related</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2"/>
              </w:rPr>
              <w:t>S-8</w:t>
            </w:r>
          </w:p>
        </w:tc>
        <w:tc>
          <w:tcPr>
            <w:tcW w:w="100" w:type="dxa"/>
            <w:vAlign w:val="bottom"/>
          </w:tcPr>
          <w:p>
            <w:pPr>
              <w:spacing w:after="0"/>
              <w:rPr>
                <w:sz w:val="17"/>
                <w:szCs w:val="17"/>
                <w:color w:val="auto"/>
              </w:rPr>
            </w:pPr>
          </w:p>
        </w:tc>
        <w:tc>
          <w:tcPr>
            <w:tcW w:w="13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333-255270</w:t>
            </w:r>
          </w:p>
        </w:tc>
        <w:tc>
          <w:tcPr>
            <w:tcW w:w="100" w:type="dxa"/>
            <w:vAlign w:val="bottom"/>
          </w:tcPr>
          <w:p>
            <w:pPr>
              <w:spacing w:after="0"/>
              <w:rPr>
                <w:sz w:val="17"/>
                <w:szCs w:val="17"/>
                <w:color w:val="auto"/>
              </w:rPr>
            </w:pPr>
          </w:p>
        </w:tc>
        <w:tc>
          <w:tcPr>
            <w:tcW w:w="9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920" w:type="dxa"/>
            <w:vAlign w:val="bottom"/>
          </w:tcPr>
          <w:p>
            <w:pPr>
              <w:jc w:val="center"/>
              <w:spacing w:after="0" w:line="196" w:lineRule="exact"/>
              <w:rPr>
                <w:sz w:val="20"/>
                <w:szCs w:val="20"/>
                <w:color w:val="auto"/>
              </w:rPr>
            </w:pPr>
            <w:r>
              <w:rPr>
                <w:rFonts w:ascii="Arial" w:cs="Arial" w:eastAsia="Arial" w:hAnsi="Arial"/>
                <w:sz w:val="18"/>
                <w:szCs w:val="18"/>
                <w:color w:val="auto"/>
                <w:w w:val="93"/>
              </w:rPr>
              <w:t>April 16, 2021</w:t>
            </w:r>
          </w:p>
        </w:tc>
      </w:tr>
      <w:tr>
        <w:trPr>
          <w:trHeight w:val="183"/>
        </w:trPr>
        <w:tc>
          <w:tcPr>
            <w:tcW w:w="20" w:type="dxa"/>
            <w:vAlign w:val="bottom"/>
          </w:tcPr>
          <w:p>
            <w:pPr>
              <w:spacing w:after="0"/>
              <w:rPr>
                <w:sz w:val="15"/>
                <w:szCs w:val="15"/>
                <w:color w:val="auto"/>
              </w:rPr>
            </w:pPr>
          </w:p>
        </w:tc>
        <w:tc>
          <w:tcPr>
            <w:tcW w:w="12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8"/>
              </w:rPr>
            </w:pPr>
            <w:hyperlink r:id="rId127">
              <w:r>
                <w:rPr>
                  <w:rFonts w:ascii="Arial" w:cs="Arial" w:eastAsia="Arial" w:hAnsi="Arial"/>
                  <w:sz w:val="18"/>
                  <w:szCs w:val="18"/>
                  <w:color w:val="0000FF"/>
                  <w:w w:val="88"/>
                </w:rPr>
                <w:t>form agreements</w:t>
              </w:r>
            </w:hyperlink>
          </w:p>
        </w:tc>
        <w:tc>
          <w:tcPr>
            <w:tcW w:w="3180" w:type="dxa"/>
            <w:vAlign w:val="bottom"/>
            <w:tcBorders>
              <w:top w:val="single" w:sz="8" w:color="0000FF"/>
            </w:tcBorders>
            <w:gridSpan w:val="7"/>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119">
              <w:r>
                <w:rPr>
                  <w:rFonts w:ascii="Arial" w:cs="Arial" w:eastAsia="Arial" w:hAnsi="Arial"/>
                  <w:sz w:val="18"/>
                  <w:szCs w:val="18"/>
                  <w:color w:val="0000FF"/>
                  <w:w w:val="93"/>
                </w:rPr>
                <w:t>Certification of Principal Executive Officer pursuant to</w:t>
              </w:r>
            </w:hyperlink>
          </w:p>
        </w:tc>
        <w:tc>
          <w:tcPr>
            <w:tcW w:w="640" w:type="dxa"/>
            <w:vAlign w:val="bottom"/>
            <w:gridSpan w:val="8"/>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12"/>
          </w:tcPr>
          <w:p>
            <w:pPr>
              <w:spacing w:after="0" w:line="182" w:lineRule="exact"/>
              <w:rPr>
                <w:rFonts w:ascii="Arial" w:cs="Arial" w:eastAsia="Arial" w:hAnsi="Arial"/>
                <w:sz w:val="18"/>
                <w:szCs w:val="18"/>
                <w:color w:val="0000FF"/>
                <w:w w:val="99"/>
              </w:rPr>
            </w:pPr>
            <w:hyperlink w:anchor="page119">
              <w:r>
                <w:rPr>
                  <w:rFonts w:ascii="Arial" w:cs="Arial" w:eastAsia="Arial" w:hAnsi="Arial"/>
                  <w:sz w:val="18"/>
                  <w:szCs w:val="18"/>
                  <w:color w:val="0000FF"/>
                  <w:w w:val="99"/>
                </w:rPr>
                <w:t>Exchange Act Rules 13a-14(a) and 15d-14(a), as adopted</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20" w:type="dxa"/>
            <w:vAlign w:val="bottom"/>
            <w:gridSpan w:val="12"/>
          </w:tcPr>
          <w:p>
            <w:pPr>
              <w:spacing w:after="0" w:line="182" w:lineRule="exact"/>
              <w:rPr>
                <w:rFonts w:ascii="Arial" w:cs="Arial" w:eastAsia="Arial" w:hAnsi="Arial"/>
                <w:sz w:val="18"/>
                <w:szCs w:val="18"/>
                <w:color w:val="0000FF"/>
                <w:w w:val="96"/>
              </w:rPr>
            </w:pPr>
            <w:hyperlink w:anchor="page119">
              <w:r>
                <w:rPr>
                  <w:rFonts w:ascii="Arial" w:cs="Arial" w:eastAsia="Arial" w:hAnsi="Arial"/>
                  <w:sz w:val="18"/>
                  <w:szCs w:val="18"/>
                  <w:color w:val="0000FF"/>
                  <w:w w:val="96"/>
                </w:rPr>
                <w:t>pursuant to Section 302 of the Sarbanes-Oxley Act of 2002.</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4300" w:type="dxa"/>
            <w:vAlign w:val="bottom"/>
            <w:tcBorders>
              <w:top w:val="single" w:sz="8" w:color="0000FF"/>
            </w:tcBorders>
            <w:gridSpan w:val="8"/>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Certification of Principal Financial Officer pursuant to</w:t>
              </w:r>
            </w:hyperlink>
          </w:p>
        </w:tc>
        <w:tc>
          <w:tcPr>
            <w:tcW w:w="320" w:type="dxa"/>
            <w:vAlign w:val="bottom"/>
            <w:gridSpan w:val="4"/>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12"/>
          </w:tcPr>
          <w:p>
            <w:pPr>
              <w:spacing w:after="0" w:line="182" w:lineRule="exact"/>
              <w:rPr>
                <w:rFonts w:ascii="Arial" w:cs="Arial" w:eastAsia="Arial" w:hAnsi="Arial"/>
                <w:sz w:val="18"/>
                <w:szCs w:val="18"/>
                <w:color w:val="0000FF"/>
                <w:w w:val="99"/>
              </w:rPr>
            </w:pPr>
            <w:hyperlink w:anchor="page120">
              <w:r>
                <w:rPr>
                  <w:rFonts w:ascii="Arial" w:cs="Arial" w:eastAsia="Arial" w:hAnsi="Arial"/>
                  <w:sz w:val="18"/>
                  <w:szCs w:val="18"/>
                  <w:color w:val="0000FF"/>
                  <w:w w:val="99"/>
                </w:rPr>
                <w:t>Exchange Act Rules 13a-14(a) and 15d-14(a), as adopted</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12"/>
          </w:tcPr>
          <w:p>
            <w:pPr>
              <w:spacing w:after="0" w:line="182" w:lineRule="exact"/>
              <w:rPr>
                <w:rFonts w:ascii="Arial" w:cs="Arial" w:eastAsia="Arial" w:hAnsi="Arial"/>
                <w:sz w:val="18"/>
                <w:szCs w:val="18"/>
                <w:color w:val="0000FF"/>
                <w:w w:val="96"/>
              </w:rPr>
            </w:pPr>
            <w:hyperlink w:anchor="page120">
              <w:r>
                <w:rPr>
                  <w:rFonts w:ascii="Arial" w:cs="Arial" w:eastAsia="Arial" w:hAnsi="Arial"/>
                  <w:sz w:val="18"/>
                  <w:szCs w:val="18"/>
                  <w:color w:val="0000FF"/>
                  <w:w w:val="96"/>
                </w:rPr>
                <w:t>pursuant to Section 302 of the Sarbanes-Oxley Act of 2002.</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0000FF"/>
            </w:tcBorders>
            <w:gridSpan w:val="8"/>
          </w:tcPr>
          <w:p>
            <w:pPr>
              <w:spacing w:after="0"/>
              <w:rPr>
                <w:rFonts w:ascii="Arial" w:cs="Arial" w:eastAsia="Arial" w:hAnsi="Arial"/>
                <w:sz w:val="18"/>
                <w:szCs w:val="18"/>
                <w:color w:val="0000FF"/>
                <w:w w:val="95"/>
              </w:rPr>
            </w:pPr>
            <w:hyperlink w:anchor="page121">
              <w:r>
                <w:rPr>
                  <w:rFonts w:ascii="Arial" w:cs="Arial" w:eastAsia="Arial" w:hAnsi="Arial"/>
                  <w:sz w:val="18"/>
                  <w:szCs w:val="18"/>
                  <w:color w:val="0000FF"/>
                  <w:w w:val="95"/>
                </w:rPr>
                <w:t>Certifications of Principal Executive Officer and Principal</w:t>
              </w:r>
            </w:hyperlink>
          </w:p>
        </w:tc>
        <w:tc>
          <w:tcPr>
            <w:tcW w:w="320" w:type="dxa"/>
            <w:vAlign w:val="bottom"/>
            <w:gridSpan w:val="4"/>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0000FF"/>
            </w:tcBorders>
            <w:gridSpan w:val="7"/>
          </w:tcPr>
          <w:p>
            <w:pPr>
              <w:spacing w:after="0" w:line="156" w:lineRule="exact"/>
              <w:rPr>
                <w:rFonts w:ascii="Arial" w:cs="Arial" w:eastAsia="Arial" w:hAnsi="Arial"/>
                <w:sz w:val="18"/>
                <w:szCs w:val="18"/>
                <w:color w:val="0000FF"/>
                <w:w w:val="94"/>
              </w:rPr>
            </w:pPr>
            <w:hyperlink w:anchor="page121">
              <w:r>
                <w:rPr>
                  <w:rFonts w:ascii="Arial" w:cs="Arial" w:eastAsia="Arial" w:hAnsi="Arial"/>
                  <w:sz w:val="18"/>
                  <w:szCs w:val="18"/>
                  <w:color w:val="0000FF"/>
                  <w:w w:val="94"/>
                </w:rPr>
                <w:t>Financial Officer pursuant to 18 U.S.C. Section 1350 as</w:t>
              </w:r>
            </w:hyperlink>
          </w:p>
        </w:tc>
        <w:tc>
          <w:tcPr>
            <w:tcW w:w="28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020" w:type="dxa"/>
            <w:vAlign w:val="bottom"/>
            <w:tcBorders>
              <w:top w:val="single" w:sz="8" w:color="0000FF"/>
            </w:tcBorders>
            <w:gridSpan w:val="5"/>
          </w:tcPr>
          <w:p>
            <w:pPr>
              <w:spacing w:after="0" w:line="156" w:lineRule="exact"/>
              <w:rPr>
                <w:rFonts w:ascii="Arial" w:cs="Arial" w:eastAsia="Arial" w:hAnsi="Arial"/>
                <w:sz w:val="18"/>
                <w:szCs w:val="18"/>
                <w:color w:val="0000FF"/>
                <w:w w:val="90"/>
              </w:rPr>
            </w:pPr>
            <w:hyperlink w:anchor="page121">
              <w:r>
                <w:rPr>
                  <w:rFonts w:ascii="Arial" w:cs="Arial" w:eastAsia="Arial" w:hAnsi="Arial"/>
                  <w:sz w:val="18"/>
                  <w:szCs w:val="18"/>
                  <w:color w:val="0000FF"/>
                  <w:w w:val="90"/>
                </w:rPr>
                <w:t>adopted pursuant to Section 906 of the Sarbanes-Oxley</w:t>
              </w:r>
            </w:hyperlink>
          </w:p>
        </w:tc>
        <w:tc>
          <w:tcPr>
            <w:tcW w:w="600" w:type="dxa"/>
            <w:vAlign w:val="bottom"/>
            <w:gridSpan w:val="7"/>
          </w:tcPr>
          <w:p>
            <w:pPr>
              <w:spacing w:after="0" w:line="156" w:lineRule="exact"/>
              <w:rPr>
                <w:rFonts w:ascii="Arial" w:cs="Arial" w:eastAsia="Arial" w:hAnsi="Arial"/>
                <w:sz w:val="18"/>
                <w:szCs w:val="18"/>
                <w:color w:val="0000FF"/>
              </w:rPr>
            </w:pPr>
            <w:hyperlink w:anchor="page121">
              <w:r>
                <w:rPr>
                  <w:rFonts w:ascii="Arial" w:cs="Arial" w:eastAsia="Arial" w:hAnsi="Arial"/>
                  <w:sz w:val="18"/>
                  <w:szCs w:val="18"/>
                  <w:color w:val="0000FF"/>
                </w:rPr>
                <w:t>Act of</w:t>
              </w:r>
            </w:hyperlink>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21">
              <w:r>
                <w:rPr>
                  <w:rFonts w:ascii="Arial" w:cs="Arial" w:eastAsia="Arial" w:hAnsi="Arial"/>
                  <w:sz w:val="18"/>
                  <w:szCs w:val="18"/>
                  <w:color w:val="0000FF"/>
                  <w:w w:val="84"/>
                </w:rPr>
                <w:t>2002.</w:t>
              </w:r>
            </w:hyperlink>
          </w:p>
        </w:tc>
        <w:tc>
          <w:tcPr>
            <w:tcW w:w="82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-882015</wp:posOffset>
            </wp:positionV>
            <wp:extent cx="7132320" cy="420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-1602105</wp:posOffset>
            </wp:positionV>
            <wp:extent cx="7132320"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-1859915</wp:posOffset>
            </wp:positionV>
            <wp:extent cx="2785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900" w:space="360"/>
            <w:col w:w="998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Instance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2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101.CAL*</w:t>
            </w:r>
          </w:p>
        </w:tc>
        <w:tc>
          <w:tcPr>
            <w:tcW w:w="102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40" w:type="dxa"/>
            <w:vAlign w:val="bottom"/>
            <w:shd w:val="clear" w:color="auto" w:fill="CCEEFF"/>
          </w:tcPr>
          <w:p>
            <w:pPr>
              <w:spacing w:after="0"/>
              <w:rPr>
                <w:sz w:val="19"/>
                <w:szCs w:val="19"/>
                <w:color w:val="auto"/>
              </w:rPr>
            </w:pPr>
          </w:p>
        </w:tc>
        <w:tc>
          <w:tcPr>
            <w:tcW w:w="10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Document</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101.DEF*</w:t>
            </w:r>
          </w:p>
        </w:tc>
        <w:tc>
          <w:tcPr>
            <w:tcW w:w="10200" w:type="dxa"/>
            <w:vAlign w:val="bottom"/>
          </w:tcPr>
          <w:p>
            <w:pPr>
              <w:ind w:left="240"/>
              <w:spacing w:after="0" w:line="176" w:lineRule="exact"/>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101.PRE*</w:t>
            </w:r>
          </w:p>
        </w:tc>
        <w:tc>
          <w:tcPr>
            <w:tcW w:w="10200" w:type="dxa"/>
            <w:vAlign w:val="bottom"/>
          </w:tcPr>
          <w:p>
            <w:pPr>
              <w:ind w:left="240"/>
              <w:spacing w:after="0" w:line="176" w:lineRule="exact"/>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040" w:type="dxa"/>
            <w:vAlign w:val="bottom"/>
          </w:tcPr>
          <w:p>
            <w:pPr>
              <w:spacing w:after="0"/>
              <w:rPr>
                <w:sz w:val="20"/>
                <w:szCs w:val="20"/>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80" w:right="5620" w:hanging="1254"/>
        <w:spacing w:after="0" w:line="234"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12529"/>
        </w:rPr>
        <w:t>*</w:t>
      </w:r>
      <w:r>
        <w:rPr>
          <w:sz w:val="20"/>
          <w:szCs w:val="20"/>
          <w:color w:val="auto"/>
        </w:rPr>
        <w:tab/>
      </w:r>
      <w:r>
        <w:rPr>
          <w:rFonts w:ascii="Arial" w:cs="Arial" w:eastAsia="Arial" w:hAnsi="Arial"/>
          <w:sz w:val="16"/>
          <w:szCs w:val="16"/>
          <w:color w:val="212529"/>
        </w:rPr>
        <w:t>Filed herewith.</w:t>
      </w:r>
    </w:p>
    <w:p>
      <w:pPr>
        <w:spacing w:after="0" w:line="23"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212529"/>
        </w:rPr>
      </w:pPr>
      <w:r>
        <w:rPr>
          <w:rFonts w:ascii="Arial" w:cs="Arial" w:eastAsia="Arial" w:hAnsi="Arial"/>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60" w:lineRule="auto"/>
        <w:tabs>
          <w:tab w:leader="none" w:pos="276" w:val="left"/>
        </w:tabs>
        <w:numPr>
          <w:ilvl w:val="0"/>
          <w:numId w:val="53"/>
        </w:numPr>
        <w:rPr>
          <w:rFonts w:ascii="Arial" w:cs="Arial" w:eastAsia="Arial" w:hAnsi="Arial"/>
          <w:sz w:val="18"/>
          <w:szCs w:val="18"/>
          <w:color w:val="212529"/>
        </w:rPr>
      </w:pPr>
      <w:r>
        <w:rPr>
          <w:rFonts w:ascii="Arial" w:cs="Arial" w:eastAsia="Arial" w:hAnsi="Arial"/>
          <w:sz w:val="18"/>
          <w:szCs w:val="18"/>
          <w:color w:val="auto"/>
        </w:rPr>
        <w:t>Portions of this exhibit (indicated by asterisk) have been excluded because such information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Quarterly Report on Form 10-Q has been signed below by the following persons on behalf of the registrant and in the capacities and on the dates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May 14, 2021</w:t>
      </w:r>
    </w:p>
    <w:p>
      <w:pPr>
        <w:spacing w:after="0" w:line="266"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6520" w:type="dxa"/>
            <w:vAlign w:val="bottom"/>
            <w:gridSpan w:val="2"/>
          </w:tcPr>
          <w:p>
            <w:pPr>
              <w:ind w:left="1080"/>
              <w:spacing w:after="0"/>
              <w:rPr>
                <w:sz w:val="20"/>
                <w:szCs w:val="20"/>
                <w:color w:val="auto"/>
              </w:rPr>
            </w:pPr>
            <w:r>
              <w:rPr>
                <w:rFonts w:ascii="Arial" w:cs="Arial" w:eastAsia="Arial" w:hAnsi="Arial"/>
                <w:sz w:val="18"/>
                <w:szCs w:val="18"/>
                <w:b w:val="1"/>
                <w:bCs w:val="1"/>
                <w:color w:val="auto"/>
              </w:rPr>
              <w:t>Upstart Holdings, Inc</w:t>
            </w:r>
          </w:p>
        </w:tc>
      </w:tr>
      <w:tr>
        <w:trPr>
          <w:trHeight w:val="486"/>
        </w:trPr>
        <w:tc>
          <w:tcPr>
            <w:tcW w:w="2560" w:type="dxa"/>
            <w:vAlign w:val="bottom"/>
          </w:tcPr>
          <w:p>
            <w:pPr>
              <w:spacing w:after="0"/>
              <w:rPr>
                <w:sz w:val="20"/>
                <w:szCs w:val="20"/>
                <w:color w:val="auto"/>
              </w:rPr>
            </w:pPr>
            <w:r>
              <w:rPr>
                <w:rFonts w:ascii="Arial" w:cs="Arial" w:eastAsia="Arial" w:hAnsi="Arial"/>
                <w:sz w:val="18"/>
                <w:szCs w:val="18"/>
                <w:b w:val="1"/>
                <w:bCs w:val="1"/>
                <w:color w:val="auto"/>
              </w:rPr>
              <w:t>Date: May 14, 2021</w:t>
            </w:r>
          </w:p>
        </w:tc>
        <w:tc>
          <w:tcPr>
            <w:tcW w:w="1700" w:type="dxa"/>
            <w:vAlign w:val="bottom"/>
          </w:tcPr>
          <w:p>
            <w:pPr>
              <w:ind w:left="12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Dave Girouard</w:t>
            </w:r>
          </w:p>
        </w:tc>
      </w:tr>
      <w:tr>
        <w:trPr>
          <w:trHeight w:val="222"/>
        </w:trPr>
        <w:tc>
          <w:tcPr>
            <w:tcW w:w="2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Dave Girouard</w:t>
            </w:r>
          </w:p>
        </w:tc>
      </w:tr>
      <w:tr>
        <w:trPr>
          <w:trHeight w:val="229"/>
        </w:trPr>
        <w:tc>
          <w:tcPr>
            <w:tcW w:w="2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2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2560" w:type="dxa"/>
            <w:vAlign w:val="bottom"/>
          </w:tcPr>
          <w:p>
            <w:pPr>
              <w:spacing w:after="0"/>
              <w:rPr>
                <w:sz w:val="20"/>
                <w:szCs w:val="20"/>
                <w:color w:val="auto"/>
              </w:rPr>
            </w:pPr>
            <w:r>
              <w:rPr>
                <w:rFonts w:ascii="Arial" w:cs="Arial" w:eastAsia="Arial" w:hAnsi="Arial"/>
                <w:sz w:val="18"/>
                <w:szCs w:val="18"/>
                <w:b w:val="1"/>
                <w:bCs w:val="1"/>
                <w:color w:val="auto"/>
              </w:rPr>
              <w:t>Date: May 14, 2021</w:t>
            </w:r>
          </w:p>
        </w:tc>
        <w:tc>
          <w:tcPr>
            <w:tcW w:w="1700" w:type="dxa"/>
            <w:vAlign w:val="bottom"/>
          </w:tcPr>
          <w:p>
            <w:pPr>
              <w:ind w:left="12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Datta</w:t>
            </w:r>
          </w:p>
        </w:tc>
      </w:tr>
      <w:tr>
        <w:trPr>
          <w:trHeight w:val="222"/>
        </w:trPr>
        <w:tc>
          <w:tcPr>
            <w:tcW w:w="2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Sanjay Datta</w:t>
            </w:r>
          </w:p>
        </w:tc>
      </w:tr>
      <w:tr>
        <w:trPr>
          <w:trHeight w:val="230"/>
        </w:trPr>
        <w:tc>
          <w:tcPr>
            <w:tcW w:w="2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79"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Dave Girouard</w:t>
      </w:r>
    </w:p>
    <w:p>
      <w:pPr>
        <w:spacing w:after="0" w:line="92"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580" w:space="360"/>
            <w:col w:w="10300"/>
          </w:cols>
          <w:pgMar w:left="320" w:top="1093" w:right="3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Sanjay Datta</w:t>
      </w:r>
    </w:p>
    <w:p>
      <w:pPr>
        <w:spacing w:after="0" w:line="115"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2">
            <w:col w:w="580" w:space="360"/>
            <w:col w:w="10300"/>
          </w:cols>
          <w:pgMar w:left="320" w:top="1093" w:right="3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Quarterly Report on Form 10-Q of Upstart Holdings, Inc. for the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54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Date: May 14, 2021</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Dave Girouard</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Dave Girouard</w:t>
            </w:r>
          </w:p>
        </w:tc>
      </w:tr>
      <w:tr>
        <w:trPr>
          <w:trHeight w:val="311"/>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 and President</w:t>
            </w:r>
          </w:p>
        </w:tc>
      </w:tr>
      <w:tr>
        <w:trPr>
          <w:trHeight w:val="297"/>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5480" w:type="dxa"/>
            <w:vAlign w:val="bottom"/>
            <w:shd w:val="clear" w:color="auto" w:fill="FEFEFE"/>
          </w:tcPr>
          <w:p>
            <w:pPr>
              <w:spacing w:after="0"/>
              <w:rPr>
                <w:sz w:val="23"/>
                <w:szCs w:val="23"/>
                <w:color w:val="auto"/>
              </w:rPr>
            </w:pPr>
          </w:p>
        </w:tc>
        <w:tc>
          <w:tcPr>
            <w:tcW w:w="76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Quarterly Report on Form 10-Q of Upstart Holdings, Inc. for the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54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Date: May 14, 2021</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Sanjay Datta</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Sanjay Datta</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37"/>
        </w:trPr>
        <w:tc>
          <w:tcPr>
            <w:tcW w:w="5480" w:type="dxa"/>
            <w:vAlign w:val="bottom"/>
            <w:shd w:val="clear" w:color="auto" w:fill="FEFEFE"/>
          </w:tcPr>
          <w:p>
            <w:pPr>
              <w:spacing w:after="0"/>
              <w:rPr>
                <w:sz w:val="3"/>
                <w:szCs w:val="3"/>
                <w:color w:val="auto"/>
              </w:rPr>
            </w:pPr>
          </w:p>
        </w:tc>
        <w:tc>
          <w:tcPr>
            <w:tcW w:w="760" w:type="dxa"/>
            <w:vAlign w:val="bottom"/>
            <w:shd w:val="clear" w:color="auto" w:fill="FEFEFE"/>
          </w:tcPr>
          <w:p>
            <w:pPr>
              <w:spacing w:after="0"/>
              <w:rPr>
                <w:sz w:val="3"/>
                <w:szCs w:val="3"/>
                <w:color w:val="auto"/>
              </w:rPr>
            </w:pPr>
          </w:p>
        </w:tc>
        <w:tc>
          <w:tcPr>
            <w:tcW w:w="4000" w:type="dxa"/>
            <w:vAlign w:val="bottom"/>
            <w:shd w:val="clear" w:color="auto" w:fill="FEFEFE"/>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2"/>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3"/>
    </w:lvl>
  </w:abstractNum>
  <w:abstractNum w:abstractNumId="9">
    <w:nsid w:val="440BADFC"/>
    <w:multiLevelType w:val="hybridMultilevel"/>
    <w:lvl w:ilvl="0">
      <w:lvlJc w:val="left"/>
      <w:lvlText w:val="%1."/>
      <w:numFmt w:val="decimal"/>
      <w:start w:val="4"/>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5"/>
    </w:lvl>
  </w:abstractNum>
  <w:abstractNum w:abstractNumId="14">
    <w:nsid w:val="5C482A97"/>
    <w:multiLevelType w:val="hybridMultilevel"/>
    <w:lvl w:ilvl="0">
      <w:lvlJc w:val="left"/>
      <w:lvlText w:val="%1."/>
      <w:numFmt w:val="decimal"/>
      <w:start w:val="6"/>
    </w:lvl>
  </w:abstractNum>
  <w:abstractNum w:abstractNumId="15">
    <w:nsid w:val="2463B9EA"/>
    <w:multiLevelType w:val="hybridMultilevel"/>
    <w:lvl w:ilvl="0">
      <w:lvlJc w:val="left"/>
      <w:lvlText w:val="%1."/>
      <w:numFmt w:val="decimal"/>
      <w:start w:val="7"/>
    </w:lvl>
  </w:abstractNum>
  <w:abstractNum w:abstractNumId="16">
    <w:nsid w:val="5E884ADC"/>
    <w:multiLevelType w:val="hybridMultilevel"/>
    <w:lvl w:ilvl="0">
      <w:lvlJc w:val="left"/>
      <w:lvlText w:val="%1"/>
      <w:numFmt w:val="upperLetter"/>
      <w:start w:val="44"/>
    </w:lvl>
  </w:abstractNum>
  <w:abstractNum w:abstractNumId="17">
    <w:nsid w:val="51EAD36B"/>
    <w:multiLevelType w:val="hybridMultilevel"/>
    <w:lvl w:ilvl="0">
      <w:lvlJc w:val="left"/>
      <w:lvlText w:val="%1."/>
      <w:numFmt w:val="decimal"/>
      <w:start w:val="9"/>
    </w:lvl>
  </w:abstractNum>
  <w:abstractNum w:abstractNumId="18">
    <w:nsid w:val="2D517796"/>
    <w:multiLevelType w:val="hybridMultilevel"/>
    <w:lvl w:ilvl="0">
      <w:lvlJc w:val="left"/>
      <w:lvlText w:val="%1."/>
      <w:numFmt w:val="decimal"/>
      <w:start w:val="10"/>
    </w:lvl>
  </w:abstractNum>
  <w:abstractNum w:abstractNumId="19">
    <w:nsid w:val="580BD78F"/>
    <w:multiLevelType w:val="hybridMultilevel"/>
    <w:lvl w:ilvl="0">
      <w:lvlJc w:val="left"/>
      <w:lvlText w:val="%1."/>
      <w:numFmt w:val="decimal"/>
      <w:start w:val="12"/>
    </w:lvl>
  </w:abstractNum>
  <w:abstractNum w:abstractNumId="20">
    <w:nsid w:val="153EA438"/>
    <w:multiLevelType w:val="hybridMultilevel"/>
    <w:lvl w:ilvl="0">
      <w:lvlJc w:val="left"/>
      <w:lvlText w:val="%1."/>
      <w:numFmt w:val="decimal"/>
      <w:start w:val="13"/>
    </w:lvl>
  </w:abstractNum>
  <w:abstractNum w:abstractNumId="21">
    <w:nsid w:val="3855585C"/>
    <w:multiLevelType w:val="hybridMultilevel"/>
    <w:lvl w:ilvl="0">
      <w:lvlJc w:val="left"/>
      <w:lvlText w:val="%1."/>
      <w:numFmt w:val="decimal"/>
      <w:start w:val="14"/>
    </w:lvl>
  </w:abstractNum>
  <w:abstractNum w:abstractNumId="22">
    <w:nsid w:val="70A64E2A"/>
    <w:multiLevelType w:val="hybridMultilevel"/>
    <w:lvl w:ilvl="0">
      <w:lvlJc w:val="left"/>
      <w:lvlText w:val="%1."/>
      <w:numFmt w:val="decimal"/>
      <w:start w:val="15"/>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decimal"/>
      <w:start w:val="7"/>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04"/>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5"/>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5"/>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27" Type="http://schemas.openxmlformats.org/officeDocument/2006/relationships/hyperlink" Target="https://www.sec.gov/Archives/edgar/data/1647639/000119312521118191/d165331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2021-05-14T10:56:32Z</dcterms:created>
  <dcterms:modified xsi:type="dcterms:W3CDTF">2021-05-14T10:56:32Z</dcterms:modified>
</cp:coreProperties>
</file>